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E-3387/2024 vom 17. Mai 2024</w:t>
      </w:r>
    </w:p>
    <w:p>
      <w:r>
        <w:t>Bundesverwaltungsgericht, 2024-05-17, DE</w:t>
      </w:r>
    </w:p>
    <w:p>
      <w:r>
        <w:rPr>
          <w:b/>
        </w:rPr>
        <w:t xml:space="preserve">Quelle: </w:t>
      </w:r>
      <w:r>
        <w:t>https://mcp.opencaselaw.ch/entscheid/bvger_E-3387_2024_d20240517</w:t>
      </w:r>
    </w:p>
    <w:p>
      <w:r>
        <w:t>FR: TAF E-3387/2024 du 17 mai 2024</w:t>
      </w:r>
    </w:p>
    <w:p>
      <w:r>
        <w:t>IT: TAF E-3387/2024 del 17 maggio 2024</w:t>
      </w:r>
    </w:p>
    <w:p>
      <w:pPr>
        <w:pStyle w:val="Heading2"/>
      </w:pPr>
      <w:r>
        <w:t>Regeste</w:t>
      </w:r>
    </w:p>
    <w:p>
      <w:r>
        <w:t>Asyl und Wegweisung (beschleunigtes Verfahren) | Asyl und Wegweisung (beschleunigtes Verfahren); Verfügung des SEM vom 17. Mai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w:t>
      </w:r>
    </w:p>
    <w:p>
      <w:r>
        <w:t>E-3387/2024 Seite 4 vorliegend – endgültig (Art. 105 Asylgesetz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einer zweiten Richterin entschieden (Art. 111 Bst. e AsylG). Wie nachstehend aufgezeigt, handelt es sich um eine solche, weshalb das Urteil nur summarisch zu begründen ist (Art. 111a Abs. 2 AsylG). Auf die Durchführung eines Schriftenwechsels wurde ver- zichtet (Art. Art. 111a Abs. 1 AsylG).</w:t>
      </w:r>
    </w:p>
    <w:p>
      <w:r>
        <w:rPr>
          <w:b/>
        </w:rPr>
        <w:t>E. 4</w:t>
      </w:r>
    </w:p>
    <w:p>
      <w:r>
        <w:t>Eine Sistierung des Verfahrens rechtfertigt sich unter Umständen dann, wenn die Verfahrensfortsetzung oder der Verfahrensausgang von der vor- gängigen Beantwortung einer anderen Frage abhängig ist (SEETHA- LER/PORTMANN in: Waldmann/Krauskopf [Hrsg.], Praxiskommentar VwVG, 3. Aufl. 2023, Art. 52 N 60). Das Rechtsbegehren, das vorliegende Verfah- ren bis zur Klärung der in der Türkei laufenden (strafrechtlichen) Ermittlun- gen zu sistieren, ist abzuweisen, da über die vorliegende Beschwerde so- fort und ohne Klärung anderer Fragen entschieden werden kann. Der An- trag wurde in der Rechtsmitteleingabe zudem nicht substanziiert, und auch im Sinne des Untersuchungsgrundsatzes sind keine Gründe für eine Sis- tierung ersichtlich. Ausserdem würde eine Sistierung dem Beschleuni- gungsgebot, nach welchem ein einmal eingeleitetes Verfahren ohne Ver- zögerung durchzuführen ist, widersprechen, zumal unter anderem auch</w:t>
      </w:r>
    </w:p>
    <w:p>
      <w:r>
        <w:t>E-3387/2024 Seite 5 zum zeitlichen Aspekt der vorgebrachten Ermittlungen sehr viele Unklar- heiten bestehen.</w:t>
      </w:r>
    </w:p>
    <w:p>
      <w:r>
        <w:rPr>
          <w:b/>
        </w:rPr>
        <w:t>E. 5.1</w:t>
      </w:r>
    </w:p>
    <w:p>
      <w:r>
        <w:t>Der Beschwerdeführer rügt in formeller Hinsicht sinngemäss, die Vor- instanz habe den Sachverhalt nicht vollständig abgeklärt. Namentlich habe sie es unterlassen, den eingereichten «Strafregisterauszug» auf seine Gül- tigkeit zu überprüfen.</w:t>
      </w:r>
    </w:p>
    <w:p>
      <w:r>
        <w:rPr>
          <w:b/>
        </w:rPr>
        <w:t>E. 5.2</w:t>
      </w:r>
    </w:p>
    <w:p>
      <w:r>
        <w:t>Aus der Beschwerdeschrift ergibt sich nicht, was mit dem «Strafregis- terauszug» genau gemeint ist. Ein solcher liegt jedenfalls nicht bei den Ak- ten. Sofern die Rüge den UYAP-Auszug betreffen sollte, so hat sich die Vorinstanz ausführlich dazu geäussert, weshalb darauf verzichtet werden kann, die Verfahrensdokumente auf deren Authentizität zu überprüfen. Un- ter den in der angefochtenen Verfügung dargelegten Umständen (viele Möglichkeiten in der Türkei in einfacher Art und Weise gefälschte/unechte Verfahrensakten zu erlangen) durfte die Vorinstanz in antizipierter Beweis- würdigung von der Überprüfung der Authentizität der eingereichten türki- schen Verfahrensdokumente absehen. Ausserdem hat die Vorinstanz unter Hinweis auf die Rechtsprechung des Bundesverwaltungsgerichts zutref- fend dargelegt, dass – wie unter Ziff. 8.3 der nachfolgenden Erwägungen bestätigt wird – letztlich offenbleiben kann, ob es sich um echte Dokumente handelt (vgl. Ziff. II/1., S.5 der angefochtenen Verfügung). Die Rüge erweist sich daher als unbegründet. Folglich ist der Rückweisungsantrag abzuwei- sen.</w:t>
      </w:r>
    </w:p>
    <w:p>
      <w:r>
        <w:rPr>
          <w:b/>
        </w:rPr>
        <w:t>E. 6</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Leibes, des Lebens oder der Freiheit sowie Massnahmen, die einen uner- träglichen psychischen Druck bewirken (Art. 3 Abs. 2 AsylG).</w:t>
      </w:r>
    </w:p>
    <w:p>
      <w:r>
        <w:rPr>
          <w:b/>
        </w:rPr>
        <w:t>E. 7.1</w:t>
      </w:r>
    </w:p>
    <w:p>
      <w:r>
        <w:t>Die Vorinstanz gelangt in der angefochtenen Verfügung zum Schluss, die Vorbringen des Beschwerdeführers hielten den Anforderungen an die Flüchtlingseigenschaft gemäss Art. 3 AsylG nicht stand.</w:t>
      </w:r>
    </w:p>
    <w:p>
      <w:r>
        <w:t>E-3387/2024 Seite 6 Betreffend die geltend gemachten Ermittlungsverfahren in der Türkei sei festzustellen, dass die vom Beschwerdeführer eingereichten Dokumente (vgl. Bst. B.a. hiervor), abgesehen von der Nennung des Delikts, keinen materiellen Inhalt aufweisen würden, sondern aus standardisierten Text- bausteinen bestehen und einfach zu fälschen seien, weshalb sie lediglich einen geringen Beweiswert hätten. Im Zusammenhang mit solchen Doku- menten sei zudem mittlerweile öffentlich bekannt, dass sie in der Türkei – sei es durch professionelle Fälscher oder via korrupte Justizangestellte – problemlos gegen Entgelt beschafft werden könnten. Aus diesen Gründen könne darauf verzichtet werden, zu prüfen, ob diese objektive Fälschungs- merkmale aufweisen würden. Die eingereichten Beweismittel würden zei- gen, dass gegen den Beschwerdeführer zwar ein staatsanwaltliches Er- mittlungs-/Untersuchungsverfahren, indessen (noch) kein Gerichtsverfah- ren eröffnet worden sei. Da in der Türkei solche Verfahren oft in teils hoher Zahl eingeleitet, aber häufig auch wieder eingestellt würden, sei es zum jetzigen Zeitpunkt offen, ob die Ermittlungen vorliegend in absehbarer Zeit überhaupt zur Eröffnung eines Gerichtsverfahrens oder späteren Verurtei- lung des Beschwerdeführers aus einem flüchtlingsrechtlich relevanten Mo- tiv führen werden. Zwar könne nicht ausgeschlossen werden, dass zu be- hördlichen Aufgriffen wegen seines Engagements bei der HDP gekommen sei; Hinweise auf asylrechtlich relevante Verfolgung ergäben sich aller- dings auch in diesem Zusammenhang nicht. Er sei zwar Parteimitglied, habe indes keine aktive Rolle innegehabt und sich nicht in exponierter Stel- lung für die Partei eingesetzt. Ferner würden die geltend gemachten Fest- nahmen und Unterdrückungsmassnahmen durch die türkischen Behörden in ihrer Intensität nicht über die Nachteile hinausgehen, welche weite Teile der kurdischen Bevölkerung in der Türkei in ähnlicher Weise treffen könn- ten und würden somit ebenfalls keine asylrechtliche Relevanz entfalten. Soweit er geltend mache, er entstamme einer patriotischen Familie, sei er gemäss eigenen Angaben anlässlich der erfolgten Festnahmen zwar zu seinen Verwandten befragt, anschliessend aber ohne Weiteres freigelas- sen worden sein, weshalb nicht davon auszugehen sei, dass er mit beacht- licher Wahrscheinlichkeit und in absehbarer Zukunft von Reflexverfol- gungsmassnahmen ernsthaften Ausmasses betroffen werden könne.</w:t>
      </w:r>
    </w:p>
    <w:p>
      <w:r>
        <w:rPr>
          <w:b/>
        </w:rPr>
        <w:t>E. 7.2</w:t>
      </w:r>
    </w:p>
    <w:p>
      <w:r>
        <w:t>In der Rechtsmitteleingabe bringt der Beschwerdeführer vor, er sei in der Türkei wegen seiner Ethnie ständig misshandelt und diskriminiert wor- den. Diese Übergriffe seitens der türkischen Behörden würden einen ernst- haften Nachteil im Sinne des Asylgesetzes darstellen. Ausserdem sei das gegen ihn geführte Strafverfahren politisch motiviert. Es sei das Ziel der AKP (Adalet ve Kalkınma Partisi; Partei für Gerechtigkeit und Aufschwung)</w:t>
      </w:r>
    </w:p>
    <w:p>
      <w:r>
        <w:t>E-3387/2024 Seite 7 die Kurden aus der Türkei zu vertreiben. Das neuste Schreiben seines Rechtsanwalts belege, dass er eine Haftstrafe zu befürchten habe, wobei erneut auf die bereits vor der Vorinstanz eingereichten Verfahrensdoku- mente verwiesen wird.</w:t>
      </w:r>
    </w:p>
    <w:p>
      <w:r>
        <w:rPr>
          <w:b/>
        </w:rPr>
        <w:t>E. 8.1</w:t>
      </w:r>
    </w:p>
    <w:p>
      <w:r>
        <w:t>Die vorinstanzlichen Erwägungen sind nicht zu beanstanden. In der an- gefochtenen Verfügung hat die Vorinstanz ausführlich dargelegt, aus wel- chen Gründen der Beschwerdeführer die Voraussetzungen zur Anerken- nung als Flüchtling nicht erfüllt. Mit diesen Erwägungen setzt sich der Be- schwerdeführer in der Rechtsmitteleingabe nicht auseinander. Seine Aus- führungen beschränken sich auf appellatorische Kritik und Wiederholun- gen der vor der Vorinstanz bereits vorgetragenen Ausreisegründe.</w:t>
      </w:r>
    </w:p>
    <w:p>
      <w:r>
        <w:rPr>
          <w:b/>
        </w:rPr>
        <w:t>E. 8.2</w:t>
      </w:r>
    </w:p>
    <w:p>
      <w:r>
        <w:t>Mit der Vorinstanz ist aber nochmals festzuhalten, dass für die An- nahme einer Kollektivverfolgung strenge Anforderungen gelten (vgl. BVGE 2014/32 E. 6.1; 2013/12 E. 6), die im Falle der Kurden sowie Kurdinnen in der Türkei nicht erfüllt sind, was auch unter Berücksichtigung der aktuellen politischen Entwicklungen in der Türkei gilt (vgl. Urteil des BVGer E-3794/2024 vom 23. September 2024 E. 7.6.2 m.w.H.). Ohne die Benach- teiligungen, denen Angehörige der kurdischen Bevölkerung in der Türkei allgemein ausgesetzt sind, zu verharmlosen, führen diese praxisgemäss nicht zur Anerkennung der Flüchtlingseigenschaft, da die Schwelle der Asylrelevanz im Sinne von Art. 3 AsylG in der Regel nicht erreicht ist. Auch unter Berücksichtigung der Parteimitgliedschaft des Beschwerdeführers bei der HDP, bei der er gemäss eigenen Angaben keine exponierte Stellung einnahm, und seiner geltend gemachten Sympathie für die PKK, sind die Voraussetzungen der Flüchtlingseigenschaft nicht erfüllt.</w:t>
      </w:r>
    </w:p>
    <w:p>
      <w:r>
        <w:rPr>
          <w:b/>
        </w:rPr>
        <w:t>E. 8.3</w:t>
      </w:r>
    </w:p>
    <w:p>
      <w:r>
        <w:t>Sodann hat das Bundesverwaltungsgericht im kürzlich ergangen Koor- dinationsentscheid E-4103/2024 vom 8. November 2024 (zur Publikation als Referenzurteil vorgesehen) festgehalten, dass allein die Tatsache, dass in der Türkei staatsanwaltschaftliche Ermittlungsverfahren wegen «Präsi- dentenbeleidigung» oder «Propaganda für eine terroristische Organisa- tion» – auch in Kombination – hängig sind, nicht zur Annahme führe, dass Betroffene generell einen Politmalus zu befürchten hätten. Im Einzelfall müsse indes geprüft werden, ob Hinweise auf einen individuellen Polit- malus vorliegen (insbesondere a.a.O. E. 8.7.3 und E. 8.8). Wie in Erwä- gung 8.2 hiervor erwähnt, hat der Beschwerdeführer lediglich ein nieder- schwelliges politisches Profil. Zudem sind keine einschlägigen Vorstrafen oder früheren Verurteilungen bekannt, was ebenfalls nicht dafürspricht, der</w:t>
      </w:r>
    </w:p>
    <w:p>
      <w:r>
        <w:t>E-3387/2024 Seite 8 Beschwerdeführer hätte eine längere, unbedingt vollziehbare Freiheits- strafe zu befürchten. Vor diesem Hintergrund kann offen gelassen werden, ob es sich bei den eingereichten türkischen Verfahrensdokumenten um echte Beweismittel handelt (vgl. etwa Urteile des BVGer D-920/2024 vom 7. Oktober 2024 E. 6.3; E-5158/2024 vom 3. Oktober 2024 E. 6.3; E-3923/2024 vom 1. Oktober 2024 E. 7.1, je m.w.H.). Das eingereichte Schreiben seines türkischen Rechtsanwalts vom 24. Mai 2024 – bei wel- chem nicht ausgeschlossen werden kann, dass es sich um ein Gefällig- keitsschreiben handelt – vermag daran nichts zu ändern. Schliesslich sind die vorinstanzlichen Erwägungen, wonach der Beschwerdeführer nicht mit beachtlicher Wahrscheinlichkeit und in absehbarer Zukunft von Reflexver- folgungsmassnahmen ernsthaften Ausmasses betroffen werden könne, zu denen sich der Beschwerdeführer in der Rechtsmitteleingabe auch nicht weiter äussert, zu bestätigen. Gesamthaft betrachtet hat die Vorinstanz die Flüchtlingseigenschaft des Beschwerdeführers zu Recht verneint und das Asylgesuch abgewiesen.</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w:t>
      </w:r>
    </w:p>
    <w:p>
      <w:r>
        <w:t>E-3387/2024 Seite 9 Heimat-, Herkunfts- oder einen Drittstaat entgegenstehen (Art. 83 Abs. 3 AIG).</w:t>
      </w:r>
    </w:p>
    <w:p>
      <w:r>
        <w:rPr>
          <w:b/>
        </w:rPr>
        <w:t>E. 10.2.1</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Sodann ergeben sich weder aus den Aussagen des Beschwerdeführers noch aus den Akten Anhaltspunkte dafür, dass er für den Fall einer Aus- schaffung in die Türkei dort mit beachtlicher Wahrscheinlichkeit einer nach Art. 3 EMRK oder Art. 1 FoK verbotenen Strafe oder Behandlung ausge- setzt wäre.</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Auch unter Berücksichtigung des Wiederaufflammens des türkisch- kurdischen Konfliktes, der bewaffneten Auseinandersetzungen zwischen der PKK und staatlichen Sicherheitskräften seit Juli 2015 in verschiedenen Provinzen im Südosten des Landes sowie der Entwicklungen nach dem Militärputschversuch im Juli 2016 ist gemäss konstanter Praxis des Bun- desverwaltungsgerichts nicht von einer Situation allgemeiner Gewalt oder bürgerkriegsähnlichen Verhältnissen in der Türkei – auch nicht für Angehö- rige der kurdischen Ethnie – auszugehen (vgl. statt vieler Urteil des BVGer D-5241/2024 vom 20. September 2024 E. 8.4.2).</w:t>
      </w:r>
    </w:p>
    <w:p>
      <w:r>
        <w:rPr>
          <w:b/>
        </w:rPr>
        <w:t>E. 10.3.2</w:t>
      </w:r>
    </w:p>
    <w:p>
      <w:r>
        <w:t>Im bereits erwähnten Koordinationsentscheid E-4103/2024 hat das Bundesverwaltungsgericht des Weiteren eine Neubeurteilung der Lage in den Provinzen Hakkâri und Şırnak vorgenommen und dabei die bisherige Rechtsprechung, wonach der Wegweisungsvollzug in diese Provinzen ge- nerell als unzumutbar galt, aufgehoben. Künftig sei stets eine Einzelfallprü- fung vorzunehmen, wobei nicht mehr von einer generellen Unzumutbarkeit auszugehen sei (a.a.O. E. 13.4). Beim Beschwerdeführer handelt es sich</w:t>
      </w:r>
    </w:p>
    <w:p>
      <w:r>
        <w:t>E-3387/2024 Seite 10 um einen jungen, gesunden Mann ohne familiäre Verpflichtungen, der über einen Gymnasialabschluss und mehrere Jahre Berufserfahren in (…) ver- fügt, weshalb von der Zumutbarkeit des Vollzugs der Wegweisung ausge- gangen werden kann. In der Rechtsmitteleingabe bringt er diesbezüglich auch nichts Gegenteiliges vor.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w:t>
      </w:r>
    </w:p>
    <w:p>
      <w:r>
        <w:t>Zusammenfassend hat die Vorinstanz den Wegweisungsvollzug zu Recht als zulässig, zumutbar und möglich bezeichnet. Eine Anordnung der vor- 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sind die Kosten dem Beschwerdefüh- rer aufzuerlegen (Art. 63 Abs. 1 VwVG) und auf Fr. 750.– festzusetzen (Art. 1–3 des Reglements vom 21. Februar 2008 über die Kosten und Ent- schädigungen vor dem Bundesverwaltungsgericht [VGKE, SR 173.320.2]). Der am 17. Juni 2024 geleistete Kostenvorschuss in der Höhe von Fr. 750.– ist zur Bezahlung der Verfahrenskosten zu verwenden.</w:t>
      </w:r>
    </w:p>
    <w:p>
      <w:r>
        <w:t>(Dispositiv nächste Seite)</w:t>
      </w:r>
    </w:p>
    <w:p>
      <w:r>
        <w:t>E-3387/2024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