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E-3385/2020 vom 8. März 2021</w:t>
      </w:r>
    </w:p>
    <w:p>
      <w:r>
        <w:t>Bundesverwaltungsgericht, 2021-03-08, DE</w:t>
      </w:r>
    </w:p>
    <w:p>
      <w:r>
        <w:rPr>
          <w:b/>
        </w:rPr>
        <w:t xml:space="preserve">Quelle: </w:t>
      </w:r>
      <w:r>
        <w:t>https://mcp.opencaselaw.ch/entscheid/bvger_E-3385_2020</w:t>
      </w:r>
    </w:p>
    <w:p>
      <w:r>
        <w:t>FR: TAF E-3385/2020 du 8 mars 2021</w:t>
      </w:r>
    </w:p>
    <w:p>
      <w:r>
        <w:t>IT: TAF E-3385/2020 del 8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3.2</w:t>
      </w:r>
    </w:p>
    <w:p>
      <w:r>
        <w:t>Der Beschwerdeführer rügt im Zusammenhang mit der Botschaftsabklärung eine Verletzung des rechtlichen Gehörs. Die Ausführungen der Botschaft seien nur bedingt nachvollziehbar und nicht transparent. Die Behauptungen, wonach der Stempel gefälscht sei und (...), seien unbelegt. Die Vorinstanz habe sich ohne Hinterfragen auf die Abklärungsergebnisse der Botschaft gestützt. Trotz entsprechender Rüge in der Stellungnahme vom 18. Mai 2020 habe es die Vorinstanz unterlassen, die Botschaft in J._______ noch einmal auf Frage 4 des Abklärungsauftrages hinzuweisen und diese beantworten zu lassen, sowie seine Erklärung bezüglich der Authentizität der Gerichtsdokumente nochmals überprüfen zu lassen.</w:t>
      </w:r>
    </w:p>
    <w:p>
      <w:r>
        <w:rPr>
          <w:b/>
        </w:rPr>
        <w:t>E. 3.3</w:t>
      </w:r>
    </w:p>
    <w:p>
      <w:r>
        <w:t>Der angefochtenen Verfügung ist zu entnehmen, dass nach Ansicht der Vorinstanz keine Veranlassung für weitere Abklärungen bei der Schweizer Botschaft in J._______ bestanden (vgl. SEM-Akte A54/12 S. 5). Mit seinen Darlegungen in der Rechtsmitteleingabe vertritt der Beschwerdeführer im Wesentlichen eine von der Vorinstanz abweichende materielle Würdigung des Ergebnisses der Botschaftsabklärung sowie der Asylgründe. Dies betrifft aber nicht das rechtliche Gehör. Die Rüge ist unbegründet.</w:t>
      </w:r>
    </w:p>
    <w:p>
      <w:r>
        <w:rPr>
          <w:b/>
        </w:rPr>
        <w:t>E. 4.1</w:t>
      </w:r>
    </w:p>
    <w:p>
      <w:r>
        <w:t>Die Vorinstanz gelangt in der angefochtenen Verfügung zum Schluss, die Vorbringen des Beschwerdeführers genügten den Anforderungen an das Glaubhaftmachen gemäss Art. 7 AsylG nicht. Anlässlich der Anhörung habe der Beschwerdeführer angegeben, weder ihm noch seiner Frau seien je Dokumente betreffend das gegen ihn hängige Verfahren ausgehändigt worden. Im Rahmen der Stellungnahme zum Entscheidentwurf habe er eine Kopie des Haftbefehls eingereicht, gemäss welchem ihm ein nicht näher definiertes Vergehen gemäss dem Prevention of Terrorism Act (PTA) vorgeworfen werde. Im Entscheid vom 20. Juni 2019 sei denn auch festgehalten worden, es sei nicht nachvollziehbar, dass er wenige Tage nach der Anhörung das Dokument habe einreichen können, ohne dieses in Aussicht gestellt zu haben. Mit Instruktionsschreiben vom 8. Oktober 2019 sei er aufgefordert worden, die auf Beschwerdeebene eingereichten Unterlagen nachzureichen und darzulegen, wie er an die Beweismittel gelangt sei. In seiner Stellungnahme habe er ausgeführt, die Dokumente seien bereits am 10. Mai 2019 vom Gericht freigegeben worden; die Übergabe an seine Verwandten habe sich aber aufgrund der Bombenanschläge im April 2019 verzögert gehabt. Indes sei nicht nachvollziehbar, dass der Beschwerdeführer anlässlich der Anhörung nicht erwähnt habe, um die Beschaffung von Beweismitteln bemüht zu sein. Die Botschaftsanfrage zur Überprüfung der Gerichtsdokumente habe ergeben, dass beim Amtsgericht D._______ zwar ein Verfahren mit der Fallnummer (...) existiere. Der Inhalt jenes Verfahrens entspreche aber nicht den im Gesuch genannten Gründen. Die Gerichtsakten würden eine andere Person sowie einen anderen Verfahrensgegenstand ohne Bezug zum Beschwerdeführer betreffen. Der Stempel auf den eingereichten Gerichtsdokumenten sei gefälscht. Dieser stimme nicht mit jenem der (...) des Amtsgerichts D._______ überein. Der Botschaft hätten die von ihm eingereichten Gerichtsunterlagen vorgelegen. Die Erklärung, das Gericht in D._______ habe die falschen Akten ediert und ein anderes Verfahren unter derselben Nummer geführt, sei nicht nachvollziehbar. Die Angabe, das Verfahren einer anderen Person sei auf ihn ausgeweitet worden, sei unbehilflich, da es sich - wie bereits erwähnt - um ein anderes Delikt handle. Dass die Stempel des Gerichts von Zeit zu Zeit änderten, sei eine Schutzbehauptung. Das angebliche Aufsuchen der Ehefrau durch das CID sei eine reine Parteibehauptung und angesichts der falschen Gerichtsdokumente unglaubhaft. Dem Einwand in der Stellungnahme, wonach die Frage 4 in der Botschaftsabklärung nicht beantwortet worden sei, komme keine Relevanz zu. Die Abklärung durch die Botschaft habe ergeben, dass am Amtsgericht D._______ kein Verfahren bezüglich eines Bombenanschlags aus dem Jahr 2013 gegen den Beschwerdeführer laufe. Weitere Erläuterungen dazu seien deshalb obsolet. Die (...) sei nicht geeignet, die Vorbringen zu belegen. Da die Ausreisegründe unglaubhaft seien, könne nicht beurteilt werden, unter welchen Umstände diese zustande gekommen sei. Trotz der unglaubhaften Asylgründe gelte zu prüfen, ob er im Falle einer Rückkehr nach Sri Lanka dennoch begründete Furcht vor künftigen Verfolgungsmassnahmen im Sinne von Art. 3 AsylG haben müsse. Diese Prüfung sei anhand vom Bundesverwaltungsgericht definierten Risikofaktoren vorzunehmen. Rückkehrer, die illegal ausgereist seien, über keine gültigen Identitätsdokumente verfügten, im Ausland ein Asylverfahren durchlaufen hätten oder behördlich gesucht würden, würden am Flughafen zum Hintergrund befragt. Diese Befragung und das allfällige Eröffnen eines Strafverfahrens wegen illegaler Ausreise stellten keine asylrelevanten Verfolgungsmassnahmen dar. Regelmässig würden Rückkehrer auch an ihrem Herkunftsort zwecks Registrierung, Erfassung der Identität, bis hin zur Überwachung der Aktivitäten der Person befragt. Auch diese Kontrollmassnahmen nähmen grundsätzlich kein asylrelevantes Ausmass an. Der Beschwerdeführer habe nicht glaubhaft gemacht, vor der Ausreise asylrelevanten Verfolgungsmassnahmen durch die sri-lankischen Behörden ausgesetzt gewesen zu sein. Es sei nicht ersichtlich, weshalb er bei einer Rückkehr in den Fokus der Behörden geraten und in asylrelevanter Weise verfolgt werden sollte. Daran vermöge die Narbe am (...) nichts zu ändern. Es bestehe kein begründeter Anlass zur Annahme, der Beschwerdeführer sei bei einer Rückkehr nach Sri Lanka mit beachtlicher Wahrscheinlichkeit und in absehbarer Zukunft asylrelevanten Verfolgungsmassnahmen ausgesetzt. Auch die am 16. November 2019 erfolgte Präsidentschaftswahl vermöge diese Einschätzung nicht umzustossen. Mit der Wahl von Gotabaya Rajapaksa zum Präsidenten sowie ersten Anzeichen der Zunahme von Überwachungsaktivitäten gingen Befürchtungen von mehr Einschüchterungen von Minderheiten, Menschenrechtsaktivisten, Journalisten, Oppositionellen und weiteren regierungskritischen Personen einher. Die Überwachung der Zivilbevölkerung habe seit den Terroranschlägen an Ostern 2019 und nochmals nach der Präsidentschaftswahl zugenommen. Dennoch gebe es keinen Anlass zur Annahme, ganze Volks- oder Berufsgruppen seien unter Präsident Gotabaya Rajapaksa kollektiv einer Verfolgungsgefahr ausgesetzt. Voraussetzung für die Annahme einer Verfolgungsgefahr aufgrund der Präsidentschaftswahl sei ein persönlicher Bezug. Beim Beschwerdeführer seien keine Hinweise auf eine Verschärfung des Profils aufgrund dieses Ereignisses ersichtlich. Es sei nicht davon auszugehen, dass er bei einer Rückkehr begründete Furcht vor Verfolgung haben müsse.</w:t>
      </w:r>
    </w:p>
    <w:p>
      <w:r>
        <w:rPr>
          <w:b/>
        </w:rPr>
        <w:t>E. 4.2</w:t>
      </w:r>
    </w:p>
    <w:p>
      <w:r>
        <w:t>Der Beschwerdeführer macht in der Rechtsmitteleingabe geltend, die Vorinstanz habe seine Vorbringen zu Unrecht als unglaubhaft beurteilt. Die Umstände, welche zur verzögerten Edition der Akten des Amtsgerichts D._______ geführt hätten, seien sowohl im vorherigen Beschwerdeverfahren als auch im Schreiben vom 17. Oktober 2019 an die Vorinstanz dargelegt worden. Es sei verständlich, dass er wegen des Ausnahmezustandes in Sri Lanka keine Beweismittel in Aussicht habe stellen wollen, welche er gar nicht hätte erhältlich machen können. Vermutlich hätten der Botschaft oder jener Person, welche die Abklärungen vorgenommen habe, die falschen Akten vorgelegen. Gemäss Ausführungen des Rechtsanwaltes M._______, welcher für ihn die Aktenedition veranlasst habe, seien die eingereichten Dokumente entgegen der Ansicht der Botschaft authentisch und stammten vom Amtsgericht D._______. Das eingereichte Schreiben des Amtsgerichtes D._______ bestätige die in der E-Mail vom 16. Mai 2020 gemachten Angaben. Eine Edition der falschen Gerichtsakten liege damit auf der Hand. Es wäre für die Botschaft ohne weiteres möglich gewesen, eine ergänzende Stellungnahme und eine Abklärung der Erklärung vorzunehmen, was aber unterlassen worden sei. Die Botschaftsabklärung sei abgesehen von den Mängeln auch nicht vollständig. Der Botschaft seien sechs Fragen gestellt worden. Beantwortet worden sei lediglich Frage 1 und insbesondere die zentrale Frage 4 betreffend Informationen zum Bombenanschlag vom 27. November 2013, nicht. Ferner sei durch unzählige Berichte belegt, dass Folter und Missbrauch durch Militär- und Polizeiangehörige sehr verbreitet und vor allem Angehörige der tamilischen Minderheit davon betroffen seien. Diese Berichte würden seine Ausführungen stützen.</w:t>
      </w:r>
    </w:p>
    <w:p>
      <w:r>
        <w:rPr>
          <w:b/>
        </w:rPr>
        <w:t>E. 4.3</w:t>
      </w:r>
    </w:p>
    <w:p>
      <w:r>
        <w:t>In der Vernehmlassung entgegnet die Vorinstanz, in der Botschaftsabklärung sei auf die Fragen 1, 2 sowie 5 eingegangen worden. Die dritte Frage hätte nur beantwortet werden können, wenn die ersten beiden Fragen hätten bejaht werden können. Wie bereits im Asylentscheid ausgeführt, seien Abklärungen zum Bombenanaschlag angesichts der Botschaftsantwort obsolet geworden. Es sei eine Schutzbehauptung, dass (...) am Amtsgericht D._______ für mehrere Verfahren parallel verwendet würden. Der Botschaft hätten die Personalien des Beschwerdeführers sowie die von ihm eingereichten Gerichtsunterlagen vorgelegen. Es könne deshalb auf korrekte Nachforschungen vertraut werden. Die Erklärung betreffend die Beschaffung der Dokumente sei ebenfalls als Schutzbehauptung zu werten. Dem Beschwerdeführer wären keine Nachteile entstanden, hätte er über die konkreten Umstände informiert. Hätte er sich zum angegebenen Zeitpunkt tatsächlich unter erschwerten Bedingungen um die Edition von Akten bemüht, sei anzunehmen, er hätte dies mitgeteilt. Auch mit der Einreichung des Haftbefehls habe er nicht erwähnt, er erwarte noch zusätzliche Dokumente. Das sukzessive Nachreichen von Beweismitteln ohne entsprechende Erläuterung spreche nicht für die Glaubhaftigkeit der Vorbringen und die Echtheit der Dokumente. Die Dokumente würden nach wie vor als nicht authentisch erachtet. Vor diesem Hintergrund werde auch die Echtheit des mit der Beschwerde eingereichten Schreibens des Amtsgerichts D._______ vom 30. Juni 2020 in Abrede gestellt. Mangels Glaubhaftigkeit der Vorbringen sei die diagnostizierte (...) lediglich hinsichtlich des Vollzugs der Wegweisung beachtlich und auf das Einverlangen eines Gutachtens nach dem Istanbul-Protokoll sei zu verzichten.</w:t>
      </w:r>
    </w:p>
    <w:p>
      <w:r>
        <w:rPr>
          <w:b/>
        </w:rPr>
        <w:t>E. 5.1</w:t>
      </w:r>
    </w:p>
    <w:p>
      <w:r>
        <w:t>Der Beschwerdeführer kündigte anlässlich der Personalienaufnahme, mithin ganz zu Beginn des Asylverfahrens, die Beschaffung von Ausweispapieren an (vgl. SEM-Akte 10/7 Ziff. 4.07). Angesicht dessen überzeugt die Erklärung nicht, weshalb er keine weiteren Dokumente in Aussicht gestellt habe, vor allem da diese dazu gedient hätten, seine Fluchtgründe zu belegen. Weitergehend wiederholt der Beschwerdeführer in der Rechtsmitteleingabe im Wesentlichen seine Ausführungen im Schreiben vom 18. Mai 2020 bezüglich rechtliches Gehör und beharrt darauf, die Erkenntnisse aus der Botschaftsabklärung seien falsch und dürften der Entscheidfindung nicht zugrunde gelegt werden. Damit setzt er sich aber nicht differenziert mit den Ausführungen in der angefochtenen Verfügung auseinander, sondern spricht der Botschaftsabklärung generell den Beweiswert ab. Das Gericht sieht aber keinen Anlass, die Seriosität und Zuverlässigkeit der Abklärungen durch die Schweizer Vertretung in J._______ in Zweifel zu ziehen. Das mit der Beschwerde eingereichte Schreiben vom 30. Juni 2020, welches vom Amtsgericht D._______ ausgestellt worden sein soll, stellt kein taugliches Beweismittel zur Untermauerung der Argumentation des Beschwerdeführers dar. Einerseits ist auf dem Dokument nicht ersichtlich, wer dieses verfasst hat. Andererseits ist auffällig, dass der Beschwerdeführer nach dem negativen Asylentscheid vom 29. Mai 2020 auf Rechtsmittelebene ein Schreiben des Amtsgerichts D._______ vorlegen kann, welches genau seine Ausführungen zur mangelhaften Botschaftsabklärung bestätigen soll. Es ist anzunehmen, dass diese Informationen bereits im Rahmen der Botschaftsabklärung vorgelegen hätten, wäre dem tatsächlich so, wie es der Beschwerdeführer darstellt. Dem Beschwerdeführer gelingt es mit seinen Ausführungen in der Rechtsmitteleingabe nicht, den vorinstanzlichen Erwägungen betreffend die Glaubhaftigkeit etwas Stichhaltiges entgegenzuhalten. Da sich die vom Beschwerdeführer eingereichten Gerichtsdokumente als Fälschungen erwiesen haben, wird den Vorbringen die Grundlage entzogen und es erübrigt sich, weiter auf deren Glaubhaftigkeit einzugehen. Um Wiederholungen zu vermeiden, ist im Übrigen auf die vorinstanzlichen Erwägungen in der angefochtenen Verfügung sowie der Vernehmlassung zu verweisen.</w:t>
      </w:r>
    </w:p>
    <w:p>
      <w:r>
        <w:rPr>
          <w:b/>
        </w:rPr>
        <w:t>E. 5.2</w:t>
      </w:r>
    </w:p>
    <w:p>
      <w:r>
        <w:t>Darüber hinaus ist vorliegend auch nicht von einem Risikoprofil des Beschwerdeführers im Sinne des Referenzurteils des Bundesverwaltungsgerichts E-1866/2015 vom 15. Juli 2016 auszugehen, zumal er selbst auch nicht angab, Verbindungen zu den LTTE gehabt zu haben (vgl. SEM-Akte A21/25 F131). Betreffend die Entwicklungen der allgemeinen politischen Lage in Sri Lanka ist festzustellen, dass nicht erkennbar ist, wie sich diese zum heutigen Zeitpunkt auf den Beschwerdeführer auswirken könnten. Diesbezüglich kann, um Wiederholungen zu vermeiden, auf die vorinstanzlichen Erwägungen verwiesen werden. An dieser Einschätzung ändert die erfolgte Entführung und Verhaftung einer sri-lankischen Mitarbeiterin der Schweizerischen Botschaft in J._______ nichts, da auch diesbezüglich kein individueller Bezug zum Beschwerdeführer ersichtlich ist. Gemäss Auskunft der Schweizerischen Botschaft sind in diesem Zusammenhang keine Informationen an die sri-lankischen Behörden gelangt, so dass keine Anhaltspunkte auf eine erhöhte Gefährdungssituation vorliegen.</w:t>
      </w:r>
    </w:p>
    <w:p>
      <w:r>
        <w:rPr>
          <w:b/>
        </w:rPr>
        <w:t>E. 5.3</w:t>
      </w:r>
    </w:p>
    <w:p>
      <w:r>
        <w:t>Zusammenfassend hat die Vorinstanz zu Recht die Flüchtlingseigenschaft verneint und das Asylgesuch des Beschwerdeführers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des BVGer E-1866/2015 vom 15. Juli 2016 E. 12.2 sowie statt vieler Urteil des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vorstehend E. 7.4 sowie statt vieler Urteil des BVGer E-895/2020 vom 15. April 2020 E. 9.3).</w:t>
      </w:r>
    </w:p>
    <w:p>
      <w:r>
        <w:rPr>
          <w:b/>
        </w:rPr>
        <w:t>E. 7.4.2</w:t>
      </w:r>
    </w:p>
    <w:p>
      <w:r>
        <w:t>In individueller Hinsicht macht der Beschwerdeführer (...) Probleme geltend, die der Zumutbarkeit des Vollzugs entgegenstehen würden. 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(vgl. etwa BVGE 2011/50 E. 8.3 und 2009/2 E. 9.3.1 je m.w.H.).</w:t>
      </w:r>
    </w:p>
    <w:p>
      <w:r>
        <w:rPr>
          <w:b/>
        </w:rPr>
        <w:t>E. 7.4.3</w:t>
      </w:r>
    </w:p>
    <w:p>
      <w:r>
        <w:t>In den Akten befinden sich zwei Berichte des O._______ vom 17. Oktober 2019 und 23. Juli 2019. Aus diesen geht hervor, dass beim Beschwerdeführer eine (...) diagnostiziert wurde und er sich seit dem 3. Juli 2019 in psychiatrisch-psychotherapeutischer Behandlung befinde. In der Beschwerde vom 2. Juli 2020 führt er aus, er befinde sich nach wie vor in Behandlung und werde hierzu Belege nachreichen. Dies hat der anwaltlich vertretene Beschwerdeführer im Rahmen der ihm obliegenden Mitwirkungspflicht (Art. 8 AsylG) bis zum heutigen Zeitpunkt nicht getan. Es erübrigt sich, von Amtes wegen weitere Arztberichte einzufordern. Da er seit rund eineinhalb Jahren keine aktuelleren Arztberichte mehr eingereicht hat und in der Beschwerde nicht substantiiert auf seine Probleme eingeht, ist nicht davon auszugehen, die (...) Probleme des Beschwerdeführers stellten eine medizinische Notlage im Sinne der vorstehend dargelegten Rechtsprechung dar. In Sri Lanka sind sodann bei psychischen Erkrankungen sowohl stationäre als auch ambulante Betreuungsmöglichkeiten verfügbar (vgl. Urteil des BVGer E-7137/2018 vom 23. Januar 2019, E. 12.3 m.w.H.) Schliesslich steht es dem Beschwerdeführer offen, medizinische Rückkehrhilfe in Anspruch zu nehmen (vgl. Art. 75 der Asylverordnung 2 vom 11. August 1999 [AsylV 2, SR 142.312]). Es liegen demnach keine medizinischen Wegweisungshindernisse vor.</w:t>
      </w:r>
    </w:p>
    <w:p>
      <w:r>
        <w:rPr>
          <w:b/>
        </w:rPr>
        <w:t>E. 7.4.4</w:t>
      </w:r>
    </w:p>
    <w:p>
      <w:r>
        <w:t>Auch sonst liegen keine Gründe vor, die gegen die Zumutbarkeit des Wegweisungsvollzugs sprechen. Der Beschwerdeführer stammt aus D._______, Ostprovinz, wohin der Vollzug der Wegweisung grundsätzlich zumutbar ist. Er ist verheiratet und hat eine (...) Tochter (vgl. SEM-Akte A21/25 F100 und F103). Seine Mutter lebt in E._______ und mehrere (...) sowie (...) halten sich in Sri Lanka auf (vgl. a.a.O. F106 und F113). Damit verfügt der Beschwerdeführer über ein familiäres Umfeld. Zudem ist er gemäss eigenen Angaben Eigentümer eines Hauses (vgl. a.a.O. F122). Schliesslich hat er das (...)-Level abgeschlossen und war beruflich als (...) in D._______ tätig (vgl. a.a.O. F117 und F119). Vor diesem Hintergrund ist nicht davon auszugehen, dass der Beschwerdeführer bei einer Rückkehr nach Sri Lanka in eine existentielle Notlage geraten wird. Der Vollzug der Wegweisung ist zumutbar.</w:t>
      </w:r>
    </w:p>
    <w:p>
      <w:r>
        <w:rPr>
          <w:b/>
        </w:rPr>
        <w:t>E. 7.5</w:t>
      </w:r>
    </w:p>
    <w:p>
      <w:r>
        <w:t>Ferner obliegt es dem Beschwerdeführer, sich bei der zuständigen Vertretung des Heimatstaates die für eine Rückkehr weiteren notwendigen Reisedokumente zu beschaffen (vgl. Art. 8 Abs. 4 AsylG und dazu auch BVGE 2008/34 E. 12). Der Vollzug der Wegweisung ist auch als möglich zu bezeichnen (Art. 83 Abs. 2 AIG).</w:t>
      </w:r>
    </w:p>
    <w:p>
      <w:r>
        <w:rPr>
          <w:b/>
        </w:rPr>
        <w:t>E. 7.6</w:t>
      </w:r>
    </w:p>
    <w:p>
      <w:r>
        <w:t>Schliesslich steht auch die Covid-19-Pandemie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sowie das Urteil des BVGer D-4796/2019 vom 27. April 2020 E. 8.9 m.w.H.).</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grundsätzlich dem Beschwerdeführer aufzuerlegen (Art. 63 Abs. 1 VwVG). Da ihm indes mit Zwischenverfügung vom 20. Juli 2020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w:t>
      </w:r>
    </w:p>
    <w:p>
      <w:r>
        <w:rPr>
          <w:b/>
        </w:rPr>
        <w:t>E. 9.2</w:t>
      </w:r>
    </w:p>
    <w:p>
      <w:r>
        <w:t>Mit derselben Verfügung hat die Instruktionsrichterin Rechtsanwalt Benedikt Homberger als amtlichen Rechtsvertreter eingesetzt. Seitens der Rechtsvertretung wurde keine Kostennote eingereicht. Auf Nachforderung einer solchen kann indes verzichtet werden, da der Aufwand für das vorliegende Beschwerdeverfahren zuverlässig abgeschätzt werden kann (Art. 14 Abs. 2 in fine VGKE). Ausgehend von der 16-seitigen Beschwerde, der Einreichung der Fürsorgebestätigung und einem Stundenansatz von Fr. 220.- als anwaltlicher Vertreter (vgl. genannte Zwischenverfügung sowie Art. 12 i.V.m. Art. 10 Abs. 2 VGKE) erscheint ein Honorar von Fr. 1'800.- (inkl. Auslagen) angemessen. Dieser Betrag ist dem amtlich eingesetzten Rechtsvertreter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