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E-337/2014 vom 29. Januar 2014</w:t>
      </w:r>
    </w:p>
    <w:p>
      <w:r>
        <w:t>Bundesverwaltungsgericht, 2014-01-29, DE</w:t>
      </w:r>
    </w:p>
    <w:p>
      <w:r>
        <w:rPr>
          <w:b/>
        </w:rPr>
        <w:t xml:space="preserve">Quelle: </w:t>
      </w:r>
      <w:r>
        <w:t>https://mcp.opencaselaw.ch/entscheid/bvger_E-337_2014</w:t>
      </w:r>
    </w:p>
    <w:p>
      <w:r>
        <w:t>FR: TAF E-337/2014 du 29 janvier 2014</w:t>
      </w:r>
    </w:p>
    <w:p>
      <w:r>
        <w:t>IT: TAF E-337/2014 del 29 gennaio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fest, ein Abgleich mit dem zentralen Visa-Informationssystem (CS-VIS) habe ergeben, dass der Beschwerdeführer von Italien ein vom 10. Juni 2013 bis zum 9. Juli 2013 gültiges Schengen-Visum ausgestellt bekommen habe. Gestützt darauf habe sie am 27. November 2013 die italienischen Behörden um Übernahme des Beschwerdeführers im Sinne von Art. 9 Abs. 4 der Verordnung (EG) Nr. 343/2003 des Rates vom 18. Februar 2003 zur Festlegung der Kriterien und Verfahren zur Bestimmung des Mitgliedstaats, der für die Prüfung eines von einem Drittstaatsangehörigen in einem Mitgliedstaat gestellten Asylantrags zuständig ist (Dublin-II-VO) ersucht. Die italienischen Behörden hätten das Ersuchen am 8. Januar 2014 gutgeheissen. Die Zuständigkeit für die Durchführung des Asyl- und Wegweisungsverfahrens liege somit bei Italien. Die Überstellung habe - vorbehältlich einer Unterbrechung oder Verlängerung - bis spätestens am 8. Juli 2014 zu erfolgen. Anlässlich der Gewährung des rechtlichen Gehörs habe der Beschwerdeführer keine Einwände gegen eine allfällige Zuständigkeit Italiens zur Durchführung des Asyl- und Wegweisungsverfahrens geltend gemacht. Auf sein Asylgesuch werde somit nicht eingetreten.</w:t>
      </w:r>
    </w:p>
    <w:p>
      <w:r>
        <w:rPr>
          <w:b/>
        </w:rPr>
        <w:t>E. 3.3</w:t>
      </w:r>
    </w:p>
    <w:p>
      <w:r>
        <w:t>In der Rechtsmitteleingabe bringt der Beschwerdeführer vor, er habe im Kongo ein Visum für Italien beantragt und ein solches für die Dauer vom 10. Juni 2013 bis zum 9. Juli 2013 erhalten. Mithilfe falscher Dokumente sei er aber nach Frankreich geflüchtet und habe sich von dort auf direktem Weg in die Schweiz begeben, wo er einen Asylantrag gestellt habe. Voraussetzung für eine Anknüpfung an abgelaufene Visa sei, dass diese rechtlich conditio sine qua non für die Einreise des späteren Asylbewerbers in das Hoheitsgebiet eines Mitgliedstaates gewesen seien. Im Falle einer visumsfreien Einreise in einen Mitgliedstaat sei diese nicht zuständigkeitsbegründend im Sinne von Art. 9 Abs. 4 Dublin-II-VO. Bei der Einreise nach Frankreich sei das Visum einerseits bereits abgelaufen, andererseits sei es nicht conditio sine qua non für seine Einreise in den Schengenraum gewesen. Folglich sei Italien im Sinne von Art. 9 Abs. 4 i.V.m. Abs. 1 Dublin-II-VO nicht zuständig für das Asylgesuch. Die Zustimmung Italiens verstosse somit gegen besagte Verordnung. Der Nichteintretensentscheid und die Wegweisung nach Italien liefen den in der Dublin-II-VO festgelegten Kriterien zur Zuständigkeitsbestimmung zuwider und stellten damit eine Rechtsverletzung dar.</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 Intertemporalrechtlich ist von der Anwendbarkeit der Dublin II-VO auszugehen, weil die Neufassung in Art. 49 Abs. 2 der Verordnung (EU) Nr. 604/2013 des Europäischen Parlaments und des Rates vom 26. Juni 2013 auf den Zeitpunkt des Asylgesuchs und des Ersuchens um Übernahme abstellt; das war vor dem 1. Januar 2014 (BFM-Akten A6/9 und A10/6).</w:t>
      </w:r>
    </w:p>
    <w:p>
      <w:r>
        <w:rPr>
          <w:b/>
        </w:rPr>
        <w:t>E. 4.2</w:t>
      </w:r>
    </w:p>
    <w:p>
      <w:r>
        <w:t>Gemäss Art. 3 Abs. 1 Dublin-II-VO wird jeder Asylantrag eines Drittstaatsangehörigen im Hoheitsgebiet eines Mitgliedstaats von einem einzigen Mitgliedstaat geprüft, der nach den Kriterien des Kapitels III als zuständiger Staat bestimmt wird. Zudem wird jedem Mitgliedstaat in Abweichung von den vorgenannten Zuständigkeitskriterien die Möglichkeit zur Prüfung eines Asylgesuchs eingeräumt (vgl. zur Souveränitätsklausel Art. 3 Abs. 2 Dublin-II-VO und zur humanitären Klausel Art. 15 Dublin-II-VO; vgl. auch Art. 29a Abs. 3 der Asylverordnung 1 vom 11. August 1999 über Verfahrensfragen [AsylV 1, SR 142.311]).</w:t>
      </w:r>
    </w:p>
    <w:p>
      <w:r>
        <w:rPr>
          <w:b/>
        </w:rPr>
        <w:t>E. 4.3</w:t>
      </w:r>
    </w:p>
    <w:p>
      <w:r>
        <w:t>Aufgrund der Akten ist erstellt, dass Italien dem Beschwerdeführer ein vom 10. Juni 2013 bis zum 13. Juli 2013 gültiges Schengen-Visum ausgestellt hat (BFM-Akten A4/1 und A5/1) und dass die italienischen Behörden auf dieser Basis einer Übernahme des Beschwerdeführers (gemäss Art. 9 Abs. 4 Dublin-II-VO) mit Schreiben vom 8. Januar 2014 ausdrücklich zugestimmt haben (BFM-Akten A12/1 und 13/1).</w:t>
      </w:r>
    </w:p>
    <w:p>
      <w:r>
        <w:rPr>
          <w:b/>
        </w:rPr>
        <w:t>E. 4.4</w:t>
      </w:r>
    </w:p>
    <w:p>
      <w:r>
        <w:t>Entgegen den Ausführungen des Beschwerdeführers bildet die Dublin-II-VO in erster Linie ein Regelwerk zwischen den Staaten und gibt den Betroffenen insbesondere keinen Anspruch auf die Prüfung ihres Asylgesuchs in dem von ihnen gewünschten Staat. Sie können sich deshalb nur dann auf eine Verletzung einzelner Bestimmungen berufen, wenn diese als "self-executing" gelten. Eine Bestimmung wird dann als "self-executing" qualifiziert, wenn sie nicht nur genügend bestimmt ist, sondern auch dazu dient, die Rechte des Asylgesuchstellers zu schützen (vgl. BVGE 2010/27 E. 4-6). Der angerufene Art. 9 Dublin-II-VO ist nicht "self-executing" in diesem Sinne, bezweckt er doch nicht die Rechte des Beschwerdeführers zu garantieren, sondern richtet sich vielmehr alleine an die beteiligten Staaten (vgl. Urteil des Bundesverwaltungsgerichts D 4166/2013 vom 6. November 2013, E. 6.5). Allenfalls kann eine in unrichtiger Anwendung der Zuständigkeitskriterien gestützte Überstellungsentscheidung dann im nationalen Rechtsmittelverfahren erfolgreich geltend gemacht werden, wenn eine solche zu einer Verletzung der Konvention vom 4. November 1950 zum Schutze der Menschenrechte und Grundfreiheiten (EMRK, SR 0.101) führen würde oder bestimmte, sonstige Willkür gleichzusetzender Fehler bei der Rechtsanwendung vorliegen würden (vgl. Filzwieser/Sprung, Dublin II-Verordnung - Kommentar, 3. Auflage, Wien/Graz 2010, K6 zu Art. 18). Solches ist vorliegend nicht ersichtlich und wird vom Beschwerdeführer auch nicht geltend gemacht. Bei dieser Sachlage kann der Beschwerdeführer folglich nicht erfolgreich geltend machen, die Zuständigkeit von Italien sei zu Unrecht festgestellt worden (vgl. Filzwieser/Sprung, a.a.O., K10 zu Art. 19). Seine Überstellung nach Italien ist zulässig.</w:t>
      </w:r>
    </w:p>
    <w:p>
      <w:r>
        <w:rPr>
          <w:b/>
        </w:rPr>
        <w:t>E. 4.5</w:t>
      </w:r>
    </w:p>
    <w:p>
      <w:r>
        <w:t>Die Anwendung der Humanitären Klausel gemäss Art. 15 Dublin-II-VO ist im vorliegenden Fall mangels Familienmitgliedern des Beschwerdeführers in der Schweiz nicht geboten und wird vom Beschwerdeführer auch nicht geltend gemacht.</w:t>
      </w:r>
    </w:p>
    <w:p>
      <w:r>
        <w:rPr>
          <w:b/>
        </w:rPr>
        <w:t>E. 4.6</w:t>
      </w:r>
    </w:p>
    <w:p>
      <w:r>
        <w:t>In den Akten sind ferner keine Anhaltspunkte dafür zu finden, dass durch die Überstellung nach Italien völkerrechtliche Verpflichtungen verletzt würden, welche die Anwendung der Souveränitätsklausel gemäss Art. 3 Abs. 2 Dublin-II-VO als geboten erscheinen lassen. Solches wird vom Beschwerdeführer auch nicht geltend gemacht. Italien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Italien im konkreten Fall nicht an die daraus resultierenden Verpflichtungen hält. Unter dem Dublin-System besteht sodann die Vermutung, dass alle Mitgliedstaaten beziehungsweise staatsvertraglich assoziierten Staaten die Rechte der EMRK garantieren und die Zuständigkeitsordnung selbst ein EMRK-konformes Ergebnis liefert. Zwar steht das italienische Fürsorgesystem für Asylsuchende in gewissen Punkten in der Kritik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des Bundesverwaltungsgerichts werden Dublin-Rückkehrende sowie verletzliche Personen bezüglich Unterbringung von den italienischen Behörden indes bevorzugt behandelt. Zudem nehmen sich auch private Hilfsorganisationen der Betreuung von Asylsuchenden und Flüchtlingen an. In seiner neusten Rechtsprechung hat auch der Europäische Gerichtshof für Menschenrechte (EGMR)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Es liegen somit keine Anhaltspunkte vor, dass Italien seine staatsvertraglichen Verpflichtungen missachten und der Beschwerdeführer unter Missachtung von Art. 3 EMRK einer menschenunwürdigen oder erniedrigenden Behandlung ausgesetzt wäre oder dass das flüchtlingsrechtliche Non-refoulement-Gebot verletzt würde. Für einen Selbsteintritt der Schweiz besteht keine Veranlassung.</w:t>
      </w:r>
    </w:p>
    <w:p>
      <w:r>
        <w:rPr>
          <w:b/>
        </w:rPr>
        <w:t>E. 4.7</w:t>
      </w:r>
    </w:p>
    <w:p>
      <w:r>
        <w:t>Die Vorinstanz ist demnach zutreffend von der Zuständigkeit Italiens ausgegangen und in Anwendung von Art. 34 Abs. 2 Bst. d AsylG auf das Asylgesuch zu Recht nicht eingetreten.</w:t>
      </w:r>
    </w:p>
    <w:p>
      <w:r>
        <w:rPr>
          <w:b/>
        </w:rPr>
        <w:t>E. 5</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Prozessführung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