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E-3379/2014 vom 26. Juni 2014</w:t>
      </w:r>
    </w:p>
    <w:p>
      <w:r>
        <w:t>Bundesverwaltungsgericht, 2014-06-26, DE</w:t>
      </w:r>
    </w:p>
    <w:p>
      <w:r>
        <w:rPr>
          <w:b/>
        </w:rPr>
        <w:t xml:space="preserve">Quelle: </w:t>
      </w:r>
      <w:r>
        <w:t>https://mcp.opencaselaw.ch/entscheid/bvger_E-3379_2014</w:t>
      </w:r>
    </w:p>
    <w:p>
      <w:r>
        <w:t>FR: TAF E-3379/2014 du 26 juin 2014</w:t>
      </w:r>
    </w:p>
    <w:p>
      <w:r>
        <w:t>IT: TAF E-3379/2014 del 26 giugno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praxisgemäss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Sie sind daher zur Einreichung der Beschwerde legitimiert (Art. 105 und 108 Abs. 1 AsylG; Art. 48 Abs. 1 sowie Art. 52 Abs. 1 VwVG).</w:t>
      </w:r>
    </w:p>
    <w:p>
      <w:r>
        <w:rPr>
          <w:b/>
        </w:rPr>
        <w:t>E. 1.3</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Bei Beschwerden gegen Nichteintretensentscheide, mit denen es das BFM ablehnt, ein Asylgesuch oder ein Wiedererwägungsgesuch nach negativem Asylentscheid auf seine Begründetheit hin zu überprüfen, ist die Beurteilungskompetenz der Beschwerdeinstanz nach Lehre und Praxis auf die Frage beschränkt, ob die Vorinstanz zu Recht nicht eingetreten ist; stellt die Beschwerdeinstanz fest, dass der Nichteintretensentscheid nicht hätte ergehen dürfen, enthält sie sich deshalb einer selbstständigen materiellen Prüfung, hebt die angefochtene Verfügung auf und weist die Sache zu neuer Entscheidung an die Vorinstanz zurück (vgl. BVGE 2012/4 E. 2.2 und BVGE 2007/8 E. 2.1 je m.w.H.).</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nach Lehre und Praxis die Änderung einer ursprünglich fehlerfreien Verfügung an eine nachträglich eingetretene erhebliche Veränderung der Sachlage (vgl. bereits Entscheidungen und Mitteilungen der Schweizerischen Asylrekurskommission [EMARK] 1995 Nr. 21 E. 1 S. 202 ff.).</w:t>
      </w:r>
    </w:p>
    <w:p>
      <w:r>
        <w:rPr>
          <w:b/>
        </w:rPr>
        <w:t>E. 5.1</w:t>
      </w:r>
    </w:p>
    <w:p>
      <w:r>
        <w:t>Das Wiedererwägungsgesuch vom 22. Mai 2014 war im Wesentlichen mit den folgenden neuen Tatsachen begründet worden: Mit einer Verschlechterung des Gesundheitszustands der Beschwerdeführerin (Mutter), mit einer Verschlechterung des Gesundheitszustands des Beschwerdeführers (Sohn) und mit einem ausgeprägten Abhängigkeits­verhältnis der Beschwerdeführenden zu ihrem Ehemann/Vater (der sich als Asylsuchender in der Schweiz aufhält).</w:t>
      </w:r>
    </w:p>
    <w:p>
      <w:r>
        <w:rPr>
          <w:b/>
        </w:rPr>
        <w:t>E. 5.2</w:t>
      </w:r>
    </w:p>
    <w:p>
      <w:r>
        <w:t>In seinem Nichteintretensentscheid machte das BFM einerseits geltend, die Verschlechterung des Gesundheitszustands der Beschwerdeführerin sei mehr als 30 Tage nach Entdeckung des Wiedererwägungsgrundes und damit verspätet vorgebracht worden; andererseits könne bezüglich der Frage des Vorliegens eines Abhängigkeitsverhält­nisses zum Ehemann/Vater auf die bisherigen Entscheidungen des BFM und des Bundesverwaltungsgerichts verwiesen werden (implizit wurde diesbezüglich das potenzielle Vorliegen einer relevanten wiedererwägungsrechtlichen Veränderung der Sachlage verneint).</w:t>
      </w:r>
    </w:p>
    <w:p>
      <w:r>
        <w:rPr>
          <w:b/>
        </w:rPr>
        <w:t>E. 6.1</w:t>
      </w:r>
    </w:p>
    <w:p>
      <w:r>
        <w:t>In der Beschwerde wird unter anderem darauf hingewiesen, dass das BFM sich in seiner Verfügung mit keinem Wort zu der im Wiedererwägungsgesuch geltend gemachten Verschlechterung des Gesundheitszustands des Beschwerdeführers (Sohn) geäussert hat, dass diese Thematik nie Gegenstand eines Vorverfahrens war und dass der mit dem Gesuch ein­gereichte Arztbericht von Dr. med. Weilenmann vom 6. Mai 2014 auch in keinem Fall als verspätet im Sinn von Art. 111b Abs. 1 AsylG qualifiziert werden könne.</w:t>
      </w:r>
    </w:p>
    <w:p>
      <w:r>
        <w:rPr>
          <w:b/>
        </w:rPr>
        <w:t>E. 6.2</w:t>
      </w:r>
    </w:p>
    <w:p>
      <w:r>
        <w:t>Diese Rüge ist gemäss Akten berechtigt. Das erwähnte Arztzeugnis ist zudem - unter dem Blickwinkel der Bestimmung von Art. 29a Abs. 3 der Asylverordnung 1 vom 11. August 1999 (AsylV 1, SR 142.311) - inhaltlich potenziell geeignet, eine wiedererwägungsrechtlich relevante Veränderung der Aktenlage darzutun.</w:t>
      </w:r>
    </w:p>
    <w:p>
      <w:r>
        <w:rPr>
          <w:b/>
        </w:rPr>
        <w:t>E. 6.3</w:t>
      </w:r>
    </w:p>
    <w:p>
      <w:r>
        <w:t>Das BFM hat diesen geltend gemachten Wiedererwägungsgrund und das mit dem Gesuch eingereichte Beweismittel offensichtlich schlicht übersehen und damit den rechtserheblichen Sachverhalt unvollständig festgestellt (sowie seine Begründungspflicht verletzt). Es war unzulässig, auf das Wiedererwägungsgesuch vom 22. Mai 2014 nicht einzutreten und diesem die materielle Beurteilung ganz zu versagen. Ob das BFM mit Bezug auf die übrigen vorgebrachten Wiedererwägungsgründe nicht­eintreten durfte, kann vorliegend offenbleiben.</w:t>
      </w:r>
    </w:p>
    <w:p>
      <w:r>
        <w:rPr>
          <w:b/>
        </w:rPr>
        <w:t>E. 6.4</w:t>
      </w:r>
    </w:p>
    <w:p>
      <w:r>
        <w:t>Nachdem sich die Frage einer Heilung des offensichtlichen Versehens des BFM bei dieser prozessualen Ausgangslage nicht stellen kann, ist zur Vermeidung unnötigen Aufwands im Anwendung von Art. 111a Abs. 1 AsylG auf die Durchführung eines Schriftenwechsels zu verzichten.</w:t>
      </w:r>
    </w:p>
    <w:p>
      <w:r>
        <w:rPr>
          <w:b/>
        </w:rPr>
        <w:t>E. 6.5</w:t>
      </w:r>
    </w:p>
    <w:p>
      <w:r>
        <w:t>Die Beschwerde ist gutzuheissen, der angefochtene Nichteintretensentscheid aufzuheben und die Sache an das BFM zum Eintreten auf das Wiedererwägungsgesuch zu überweisen.</w:t>
      </w:r>
    </w:p>
    <w:p>
      <w:r>
        <w:rPr>
          <w:b/>
        </w:rPr>
        <w:t>E. 7</w:t>
      </w:r>
    </w:p>
    <w:p>
      <w:r>
        <w:t>Bei diesem Ausgang des Verfahrens sind keine Kosten zu erheben (Art. 63 Abs. 1 und 2 VwVG). Das Gesuch um Gewährung der unentgeltlichen Prozessführung gemäss Art. 65 Abs. 1 VwVG wird damit gegen­standslos.</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1'000.- (inkl. Auslagen und Mehrwertsteuer) festgelegt. Das Gesuch um Gewährung der unentgeltlichen Verbeiständung gemäss Art. 65 Abs. 2 VwVG wird damit gegen­standslos.</w:t>
      </w:r>
    </w:p>
    <w:p>
      <w:r>
        <w:rPr>
          <w:b/>
        </w:rPr>
        <w:t>E. 9</w:t>
      </w:r>
    </w:p>
    <w:p>
      <w:r>
        <w:t>Bei diesem Verfahrensgang werden auch die Anträge auf Herstellung der aufschiebenden Wirkung und auf Befreiung von der Kostenvorschusspflicht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