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E-3379/2013 vom 4. Juli 2013</w:t>
      </w:r>
    </w:p>
    <w:p>
      <w:r>
        <w:t>Bundesverwaltungsgericht, 2013-07-04, DE</w:t>
      </w:r>
    </w:p>
    <w:p>
      <w:r>
        <w:rPr>
          <w:b/>
        </w:rPr>
        <w:t xml:space="preserve">Quelle: </w:t>
      </w:r>
      <w:r>
        <w:t>https://mcp.opencaselaw.ch/entscheid/bvger_E-3379_2013</w:t>
      </w:r>
    </w:p>
    <w:p>
      <w:r>
        <w:t>FR: TAF E-3379/2013 du 4 juillet 2013</w:t>
      </w:r>
    </w:p>
    <w:p>
      <w:r>
        <w:t>IT: TAF E-3379/2013 del 4 luglio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 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Zeitpunkt der Eröffnung der angefochtenen Verfügung steht mangels Vorliegens einer Empfangsbestätigung nicht fest. Da die Beweislast für die Zustellung an die Partei der eröffnenden Behörde obliegt (vgl. André Moser/Michael Beusch/Lorenz Kneubühler, Prozessieren vor dem Bundesverwaltungsgericht, Handbücher für die Anwaltspraxis, Band X, Basel 2008, Rz. 3.150, S. 166 f.), ist zugunsten des Beschwerdeführers davon auszugehen, dass die am 6. Juni 2013 bei der Schweizerischen Botschaft eingegangene Beschwerde rechtzeitig erfolgt ist.</w:t>
      </w:r>
    </w:p>
    <w:p>
      <w:r>
        <w:rPr>
          <w:b/>
        </w:rPr>
        <w:t>E. 1.4</w:t>
      </w:r>
    </w:p>
    <w:p>
      <w:r>
        <w:t>Die Beschwerde ist in englischer Sprache und damit nicht in einer Amtssprache des Bundes (vgl. Art. 105 AsylG i.V.m. Art. 33a VwVG und Art. 70 Abs. 1 der Bundesverfassung der Schweizerischen Eidgenossenschaft vom 18. April 1999 [BV, SR 101]) abgefasst. Indes weist die Eingabe keine Unklarheiten auf, weshalb praxisgemäss auf die Einholung einer Übersetzung in eine Amtssprache zu verzichten ist (vgl. statt vieler Urteil des Bundesverwaltungsgerichts E-5509/2011 vom 22. November 2011).</w:t>
      </w:r>
    </w:p>
    <w:p>
      <w:r>
        <w:rPr>
          <w:b/>
        </w:rPr>
        <w:t>E. 1.5</w:t>
      </w:r>
    </w:p>
    <w:p>
      <w:r>
        <w:t>Die Beschwerde ist somit frist- und formgerecht eingereicht. Der Beschwerdeführer ist als Verfügungsadressat durch die angefochtene Verfügung besonders berührt und hat ein schutzwürdiges Interesse an deren Aufhebung beziehungsweise Änderung. Er ist daher zur Beschwerdeführung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erweist sich als offensichtlich unbegründet und ist im Verfahren einzelrichterlicher Zuständigkeit mit Zustimmung eines zweiten Richters oder einer zweiten Richterin (Art. 111 Bst. e AsylG) ohne Schriftenwechsel und mit summarischer Begründung zu behandeln (Art. 111a Abs. 1 und 2 AsylG).</w:t>
      </w:r>
    </w:p>
    <w:p>
      <w:r>
        <w:rPr>
          <w:b/>
        </w:rPr>
        <w:t>E. 4</w:t>
      </w:r>
    </w:p>
    <w:p>
      <w:r>
        <w:t>Das Parlament hat am 28. September 2012 gestützt auf Art. 165 Abs. 1 BV Teile der neuesten Revision des AsylG in der Form eines dringlichen Bundesgesetzes erlassen; die entsprechenden Gesetzesbestimmungen sind am 29. September 2012 in Kraft getreten. Von der Gesetzesänderung sind auch die Bestimmungen betreffend Stellen eines Asylgesuches im Ausland betroffen; diese Möglichkeit ist fortan nicht mehr gegeben, da die entsprechenden Regelungen mit dem neuen Gesetz aufgehoben wurden. Gemäss den Übergangsbestimmungen zur Änderung vom 28. September 2012 gelten jedoch für Asylgesuche, die im Ausland vor dem Inkrafttreten dieser Gesetzesänderung gestellt wurden, die Art. 12, 19, 20, 41 Abs. 2, 52 und 68 AsylG in der bisherigen Fassung weiter. Für das vorliegende, bereits vor dem Stichtag (29. September 2012) anhängig gemachte Asylgesuch ist somit weiterhin das bisherige Recht anzuwenden. 5.1 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 5.2 Gemäss Art. 19 Abs. 1 AsylG kann ein Asylgesuch bei einer schweizerischen Vertretung im Ausland gestellt werden. Die schweizerische Vertretung befragt die asylsuchende Person mündlich zu ihrem Asylgesuch, ausser wenn eine Befragung nicht möglich ist; in diesen Fällen ist die asylsuchende Person schriftlich aufzufordern, ihre Asylgründe schriftlich festzuhalten (Art. 10 der Asylverordnung 1 vom 11. August 1999 über Verfahrensfragen [AsylV 1, SR 142.311]). Die schweizerische Vertretung überweist das Gesuch mit einem Bericht dem Bundesamt, welches die Einreise in die Schweiz bewilligt, sofern der asylsuchenden Person nicht zugemutet werden kann, im Wohnsitz- oder Aufenthaltsstaat zu bleiben oder in ein anderes Land auszureisen (Art. 20 Abs. 1 und 2 AsylG). 5.3 Das Bundesamt kann ein im Ausland gestelltes Asylgesuch ablehnen, wenn die asylsuchenden Personen keine Verfolgung glaubhaft machen können oder ihnen die Aufnahme in einem Drittstaat zugemutet werden kann (vgl. Art. 3, Art. 7 und Art. 52 Abs. 2 AsylG). 5.4 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BVGE 2011/10 E. 3, mit weiteren Hinweisen).</w:t>
      </w:r>
    </w:p>
    <w:p>
      <w:r>
        <w:rPr>
          <w:b/>
        </w:rPr>
        <w:t>E. 6.1</w:t>
      </w:r>
    </w:p>
    <w:p>
      <w:r>
        <w:t>Das BFM führte in seiner angefochtenen Verfügung vom 2. Mai 2013 aus, der Beschwerdeführer sei nicht schutzbedürftig im Sinne von Art. 3 AsylG, weshalb die Einreise in die Schweiz nicht bewilligt werde und das Asylgesuch abzulehnen sei. Dass sich der Beschwerdeführer aufgrund der geltend gemachten Festnahmen in den (...) Jahren und im Jahr 2007 durch die LTTE sowie den Drohungen vor weiteren Verfolgungsmassnahmen fürchte und in die Schweiz ausreisen wolle, sei zwar verständlich, jedoch fehle bei einer objektivierten Betrachtungsweise der zeitliche Kausalzusammenhang zwischen diesen Vorbringen und seiner aktuellen Situation. So hätten sich diese Ereignisse während des Krieges zwischen der Regierung und den LTTE ereignet und müssten heute unter einem anderen Licht betrachtet werden, da sich die damals allgemein herrschende angespannte Situation des Bürgerkrieges mit dem Ende des Krieges und der Niederlage der LTTE im Mai 2009 grundlegend geändert habe. Zudem sei den Akten nicht zu entnehmen, dass er seit dem Jahr 2007 einreiserelevante Schwierigkeiten gehabt hätte oder ihm solche drohen würden. Entsprechend habe er es unterlassen, im Rahmen des rechtlichen Gehörs Einwände gegen die Ablehnung des Asylgesuchs zu erheben oder neue Vorfälle geltend zu machen. Dass er nicht dermassen ernsthaften Nachteilen ausgesetzt sei oder dermassen begründete Furcht habe, inskünftig solchen Nachteilen ausgesetzt zu sein, werde zusätzlich dadurch bekräftigt, dass er sich bis dato nicht mehr bei der Botschaft gemeldet oder sein Heimatland verlassen habe. Folglich sei davon auszugehen, der Beschwerdeführer sei heute weder akut gefährdet noch schutzbedürftig.</w:t>
      </w:r>
    </w:p>
    <w:p>
      <w:r>
        <w:rPr>
          <w:b/>
        </w:rPr>
        <w:t>E. 6.2</w:t>
      </w:r>
    </w:p>
    <w:p>
      <w:r>
        <w:t>Demgegenüber bringt der Beschwerdeführer vor, er habe sein rechtliches Gehör zur Ablehnung seines Asylgesuchs nicht wahrgenommen, weil er zu diesem Zeitpunkt keinen Nachteilen ausgesetzt gewesen sei. Ausserdem sei er im August 2012 vom Criminal Investigation Departement (CID) in Colombo vorgeladen und verhört worden. 6.3.1 Nach Prüfung der Akten gelangt auch das Bundesverwaltungsgericht zum Schluss, dass kein Anlass zur Annahme besteht, der Beschwerdeführer habe in absehbarer Zukunft mit beachtlicher Wahrscheinlichkeit ernsthafte Nachteile im Sinne von Art. 3 AsylG zu befürchten. Die Erwägungen der Vorinstanz sind nicht zu beanstanden. Was der Beschwerdeführer in seiner Rechtsmitteleingabe dagegen vorbringt, ist nicht geeignet, diese in einem anderen Licht erscheinen zu lassen. Soweit er sich in der Rechtsmitteleingabe einzig darauf beschränkt, neu einzuwenden, er sei im August 2012 vom CID in Colombo vorgeladen und verhört worden, ist dieses unsubstanziierte und nicht belegte Vorbringen als nachgeschobene Sachverhaltsanpassung zu qualifizieren und es ist nicht weiter darauf einzugehen. In diesem Zusammenhang bleibt ergänzend festzustellen, dass er nicht geltend macht, er sei vom CID in asylrelevanter Weise behandelt worden. Ausserdem vermag eine behördliche Vorladung und ein Verhör den Anforderungen an die Flüchtlingseigenschaft im Sinne von Art. 3 AsylG nicht zu genügen. Zudem legt der Beschwerdeführer in seiner Rechtsmitteleingabe nicht dar, inwiefern die Vorinstanz sein Asylgesuch zu Unrecht abgelehnt und ihm die Einreise in die Schweiz nicht bewilligt hat. Um Wiederholungen zu vermeiden, kann für weitere Ausführungen auf die zutreffenden Erwägungen in der vorinstanzlichen Verfügung verwiesen werden. 6.3.2 Nach dem Gesagten kann von keinen Nachteilen ausgegangen werden, die den weiteren Verbleib des Beschwerdeführers in seinem Heimatstaat als unzumutbar erscheinen oder die gar auf eine unmittelbare Gefahr für Leib und Leben schliessen lassen. Es ist zusammenfassend festzustellen, dass der Beschwerdeführer in Sri Lanka nicht akut gefährdet ist. Die Schutzbedürftigkeit des Beschwerdeführers im Sinne von Art. 20 i.V.m. Art. 3 AsylG ist mithin als nicht gegeben zu qualifizieren. Die Vorinstanz hat daher zu Recht die Einreise des Beschwerdeführers verweigert und sein Asylgesuch abgewiesen.</w:t>
      </w:r>
    </w:p>
    <w:p>
      <w:r>
        <w:rPr>
          <w:b/>
        </w:rPr>
        <w:t>E. 6.4</w:t>
      </w:r>
    </w:p>
    <w:p>
      <w:r>
        <w:t>Schliesslich ist festzuhalten, dass auch anhand der diversen Beweismittel, die der Beschwerdeführer zur Untermauerung seiner Vorbringen zu den Akten gab, nicht auf eine aktuelle Verfolgung oder Gefährdung geschlossen werden kann.</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wären die Kosten dem Beschwerdeführer aufzuerlegen (Art. 63 Abs. 1 und 5 VwVG). Aus verwaltungsökonomischen Gründen und in Anwendung von Art. 6 des Reglements vom 21. Februar 2008 über die Kosten und Entschädigungen vor dem Bundesverwaltungsgericht (VGKE, SR 173.320.2) ist im vorliegenden Falle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