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E-3379/2009 vom 14. Mai 2012</w:t>
      </w:r>
    </w:p>
    <w:p>
      <w:r>
        <w:t>Bundesverwaltungsgericht, 2012-05-14, DE</w:t>
      </w:r>
    </w:p>
    <w:p>
      <w:r>
        <w:rPr>
          <w:b/>
        </w:rPr>
        <w:t xml:space="preserve">Quelle: </w:t>
      </w:r>
      <w:r>
        <w:t>https://mcp.opencaselaw.ch/entscheid/bvger_E-3379_2009</w:t>
      </w:r>
    </w:p>
    <w:p>
      <w:r>
        <w:t>FR: TAF E-3379/2009 du 14 mai 2012</w:t>
      </w:r>
    </w:p>
    <w:p>
      <w:r>
        <w:t>IT: TAF E-3379/2009 del 14 maggio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52 und Art. 108 VwVG Abs. 2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Bei einem Nichteintreten gestützt auf Art. 32 Abs. 2 Bst. a und Abs. 3 AsylG ist indessen über die Flüchtlingseigenschaft abschliessend materiell zu entscheiden, soweit dies im Rahmen einer summarischen Prüfung möglich ist (vgl. BVGE 2007/8 insb. E. 5.6.5). Die Flüchtlingseigenschaft ist insoweit im Beschwerdeverfahren Prozessgegenstand (vgl. BVGE a.a.O. E. 2.1). Da die Vorinstanz die Frage der Wegweisung und des Vollzugs materiell geprüft hat, kommt dem Bundesverwaltungsgericht diesbezüglich volle Kognition zu.</w:t>
      </w:r>
    </w:p>
    <w:p>
      <w:r>
        <w:rPr>
          <w:b/>
        </w:rPr>
        <w:t>E. 3.3</w:t>
      </w:r>
    </w:p>
    <w:p>
      <w:r>
        <w:t>Die Beschwerdeführerin stellt nicht in Abrede, dass sie keine Reise- oder Identitätspapiere innert der gesetzlichen Frist von 48 Stunden abgegeben hat. Hingegen beruft sie sich zunächst auf entschuldbare Gründe im Sinn von Art. 32 Abs. 3 Bst. a AsylG, weil sie in Eile das Haus habe verlassen müssen, und es ihr nicht zuzumuten sei, mit der einzigen Bezugsperson im Heimatland (...) Kontakt aufzunehmen (nachfolgend E. 4). Sodann stellt sie sich auf den Standpunkt, es lägen nicht offensichtlich unbegründete Hinweise auf eine Verfolgung vor. Damit wird geltend gemacht, die Vorinstanz hätte gestützt auf Art. 32 Abs. 3 c AsylG auf das Asylgesuch eintreten und weitere Abklärungen zur Feststellung der Flüchtlingseigenschaft treffen müssen (nachfolgend E. 5). Schliesslich erachtet die Beschwerdeführerin den Wegweisungsvollzug als unzumutbar (nachfolgend E. 6).</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Die von der Beschwerdeführerin angeführten Gründe - sie habe in Eile das Haus verlassen müssen, und es sei ihr nicht zuzumuten, mit der einzigen Bezugsperson im Heimatland (...) Kontakt aufzunehmen - sind nicht geeignet, die Papierlosigkeit zu entschuldigen. Die Beschwerdeführerin legt mit keinem Wort dar, inwiefern sie sich ohne Verzug und ernsthaft darum bemüht hat, ein Reise- oder Identitätspapier innert angemessener Frist zu beschaffen. Freilich stand ihr dafür seit der Einreise in die Schweiz am 21. Dezember 2008 genügend Zeit zur Verfügung. Ferner ist der Vorinstanz darin beizupflichten, dass die Begründung der überstürzten Flucht aus dem Haus unglaubhaft erscheint, zumal die Misshandlungen seit Jahren angedauert haben sollen und die Beschwerdeführerin nicht ansatzweise darlegt, weshalb ihre Halbschwester und sie gerade zu diesem Zeitpunkt die Flucht ergriffen haben. Die Papierlosigkeit bleibt unentschuldigt. Die Vorinstanz nimmt daher zutreffend an, dass die Beschwerdeführerin sich um die Beschaffung ihrer Reise- oder Identitätspapiere nicht ernsthaft bemüht hat und deshalb keine entschuldbaren Gründe im Sinn Art. 32 Abs. 3 Bst. a AsylG vorliegen.</w:t>
      </w:r>
    </w:p>
    <w:p>
      <w:r>
        <w:rPr>
          <w:b/>
        </w:rPr>
        <w:t>E. 5.1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5.2</w:t>
      </w:r>
    </w:p>
    <w:p>
      <w:r>
        <w:t>Die Vorinstanz hat in ihrer Verfügung vom 14. Mai 2009 sowie der Vernehmlassung vom 12. Juni 2009 einlässlich begründet, weshalb die Vorbringen der Beschwerdeführerin, ungeachtet der zweifelhaften Glaubwürdigkeit, nicht asylrelevant seien. Die Beschwerdeführerin macht geltend, jahrelang von (...) geschlagen und vergewaltigt worden zu sein, habe die Vorkommnisse jedoch nie gemeldet. In Übereinstimmung mit der Vorinstanz ist festzustellen, dass die vorgebrachten Fluchtgründe deshalb asylrechtlich nicht relevant sind, weil grundsätzlich vom Schutzwillen und der Schutzfähigkeit der mongolischen Sicherheitsbehörden auszugehen ist und die geltend gemachten Vorkommnisse Übergriffe Dritter ohne politischen Hintergrund darstellen. Auf die Studie des Nation Centre Against Violence (NCAV) aus dem Jahre 2004 braucht nicht weiter eingegangen zu werden. Seit dieser Studie hat sich in der Mongolei viel zum Schutz vor häuslicher Gewalt getan und das Bundesverwaltungsgericht erachtet die bestehende Schutzinfrastruktur für genügend (vgl. dazu auch ausführlich Urteil des Bundesverwaltungsgerichts D-1068/2012 vom 30. April 2012 E. 6.3). Soweit auf Beschwerdeebene weiter geltend gemacht wird, aufgrund der Vorkommnisse lägen zwingende Gründe vor, welche zur Anerkennung der Flüchtlingseigenschaft führen müssten, kann der Argumentation ebenfalls nicht gefolgt werden. Auf sogenannte "raisons impérieuses" kann sich nur berufen, wer im Zeitpunkt der Einreise in die Schweiz sämtliche Voraussetzungen für die Anerkennung der Flüchtlingseigenschaft erfüllt hatte (vgl. BVGE 2007/31 E. 5. und BVGE 2009/51 E. 4). Dies ist vorliegend nicht der Fall, weshalb sich weitere Ausführungen dazu und zur Relevanz einer Langzeittraumatisierung erübrigen.</w:t>
      </w:r>
    </w:p>
    <w:p>
      <w:r>
        <w:rPr>
          <w:b/>
        </w:rPr>
        <w:t>E. 5.3</w:t>
      </w:r>
    </w:p>
    <w:p>
      <w:r>
        <w:t>Zusammenfassend ergibt sich, dass der Beschwerdeführerin die Flüchtlingseigenschaft nicht zukommt und die Vorinstanz auf das Asylgesuch zu Recht nicht eingetreten ist.</w:t>
      </w:r>
    </w:p>
    <w:p>
      <w:r>
        <w:rPr>
          <w:b/>
        </w:rPr>
        <w:t>E. 6</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Beschwerdeführerin und den Akten ergeben sich keine konkreten Anhaltspunkte dafür, dass sie für den Fall einer Ausschaffung in die Mongolei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Mongolei herrscht keine Situation allgemeiner Gewalt, die im Übrigen mit Beschluss des Bundesrates vom 28. Juni 2000 zu einem so genannten "safe country" (verfolgungssicheren Staat) erklärt wurde, weshalb in konstanter Praxis von der generellen Zumutbarkeit des Wegweisungsvollzugs dorthin ausgegangen wird (vgl. dazu statt vieler das Urteil des Bundesverwaltungsgerichts D-1068/2012 vom 30. April 2012). Die Beschwerdeführerin bringt in ihrer Beschwerde vom 25. Mai 2009 sowie in der Replik vom 25. Juni 2009 vor, dass der Wegweisungsvollzug nicht zumutbar sei, weil sie eine alleinstehende Frau sei, ohne Schul- und Berufsbildung und in ihrem Heimatland über kein tragfähiges Beziehungsnetz verfüge (mit Ausnahme ihrer Halbschwester). Aufgrund der Akten ergibt sich, dass die Beschwerdeführerin jung und gesund ist. Da sie vor ihrer Ausreise stets ein sicheres Auskommen (...) hatte, ist anzunehmen, dass sie trotz schwieriger Umstände in der Mongolei eine wirtschaftliche Existenz aufzubauen in der Lage ist. Der Vollzug der Wegweisung erweist sich somit auch als zumutbar.</w:t>
      </w:r>
    </w:p>
    <w:p>
      <w:r>
        <w:rPr>
          <w:b/>
        </w:rPr>
        <w:t>E. 7.4</w:t>
      </w:r>
    </w:p>
    <w:p>
      <w:r>
        <w:t>Der Vollzug ist schliesslich nach Art. 83 Abs. 2 AuG als möglich zu bezeichnen, weil es der Beschwerdeführerin obliegt, sich bei der zuständigen Vertretung des Heimatstaates die für eine Rückkehr notwendigen Reisedokumente zu beschaffen (vgl.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hätte die Beschwerdeführerin die Kosten des vorliegenden Verfahrens zu tragen (Art. 63 Abs. 1 VwVG). Mit Zwischenverfügung vom 28. Mai 2009 hat das Bundesverwaltungsgericht das Gesuch um Gewährung der unentgetlichen Prozessführung gutgeheissen. Die Beschwerdeführerin wird deshalb von der Bezahlung der Verfahrenskosten befreit (Art. 65 Abs. 1 VwVG). Hingegen ist bei diesem Ausgang des Verfahrens das Gesuch um angemessene Parteientschädigung abzuweisen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