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E-3377/2022 vom 6. Juli 2022</w:t>
      </w:r>
    </w:p>
    <w:p>
      <w:r>
        <w:t>Bundesverwaltungsgericht, 2022-07-06, FR</w:t>
      </w:r>
    </w:p>
    <w:p>
      <w:r>
        <w:rPr>
          <w:b/>
        </w:rPr>
        <w:t xml:space="preserve">Quelle: </w:t>
      </w:r>
      <w:r>
        <w:t>https://mcp.opencaselaw.ch/entscheid/bvger_E-3377_2022_d20220706</w:t>
      </w:r>
    </w:p>
    <w:p>
      <w:r>
        <w:t>FR: TAF E-3377/2022 du 6 juillet 2022</w:t>
      </w:r>
    </w:p>
    <w:p>
      <w:r>
        <w:t>IT: TAF E-3377/2022 del 6 luglio 2022</w:t>
      </w:r>
    </w:p>
    <w:p>
      <w:pPr>
        <w:pStyle w:val="Heading2"/>
      </w:pPr>
      <w:r>
        <w:t>Regeste</w:t>
      </w:r>
    </w:p>
    <w:p>
      <w:r>
        <w:t>Asile et renvoi (demande multiple/r&amp;eacute;examen) | Asile et renvoi (demande multiple); décision du SEM du 6 juillet 2022</w:t>
      </w:r>
    </w:p>
    <w:p>
      <w:pPr>
        <w:pStyle w:val="Heading2"/>
      </w:pPr>
      <w:r>
        <w:t>Erwägungen</w:t>
      </w:r>
    </w:p>
    <w:p>
      <w:r>
        <w:rPr>
          <w:b/>
        </w:rPr>
        <w:t>E. 27</w:t>
      </w:r>
    </w:p>
    <w:p>
      <w:r>
        <w:t>avril 2022, une copie d’un certificat d’hospitalisation (du 15 au 28 février 2022) du 28 février 2022 auprès du (…) ([…]), un certificat médical pour incapacité de travail daté du 31 mai 2022, une copie d’une attestation de résidence auprès de la (…) datée du 8 juin 2022, une copie d’un rapport médical du (…) du 20 juin 2022, qu’il a également renvoyé le SEM à deux liens vers la plateforme Youtube, où, selon lui, il « continuait d’être actif dans la création politique », que dans la décision querellée, le SEM a retenu qu’indépendamment de la question de la sincérité de la conversion de l’intéressé dans la foi bahaïe,</w:t>
      </w:r>
    </w:p>
    <w:p>
      <w:r>
        <w:t>E-3377/2022 Page 6 rien n’indiquait que celui-ci ait fait preuve d’un engagement particulier au service de cette communauté, ni qu’il y déployait des activités susceptibles de le placer dans le collimateur des autorités iraniennes, que cette conversion et son affiliation formelle à cette communauté en Suisse étaient intervenues plusieurs années après son départ d’Iran et quelques mois après le rejet de son recours par le Tribunal, ce qui suggérait que cette démarche relevait davantage de la tactique que d’une conversion sincère et durable, que par ailleurs, les liens vers Youtube ne permettaient pas de retenir que son activité créatrice et ses apparitions sur internet avaient attiré l’attention des autorités iraniennes, ou que ces dernières envisageaient de sanctionner le requérant, de sorte que l’existence d’une crainte fondée de persécution au sens de l’art. 54 LAsi devait être déniée, que l’exécution de son renvoi était enfin licite, raisonnablement exigible et possible, qu’en effet, d’une part, les problèmes médicaux attestés par les documents produits (nouvelle hospitalisation, incapacité de travail et placement au sein d’une fondation spécialisée dans le traitement des addictions) s’inscrivaient dans la continuité de ceux déjà avancés dans le cadre de la procédure ordinaire, que d’autre part, la production de ces documents médicaux n’était accompagnée d’aucune explication, que pour le surplus, l’éventuel traitement de l’intéressé pouvait être mis en place en Iran, qu’à l’appui de son recours, l’intéressé rappelle, comme le SEM l’a fait, que les membres de la communautés bahaïe font l’objet d’une persécution collective en Iran, estimant que la qualité de réfugié devrait lui être reconnue de ce fait, qu’il soutient que sa prise en charge à la (…) prouve la gravité de sa dépendance à l’alcool, ainsi que sa volonté de s’en défaire, que l’exécution du renvoi anéantirait ses efforts et mettrait en péril sa santé, voire son existence, en raison de l’absence d’accès aux soins pour les personnes dépendantes dans son pays,</w:t>
      </w:r>
    </w:p>
    <w:p>
      <w:r>
        <w:t>E-3377/2022 Page 7 que la consommation d’alcool serait punie de mort en Iran, que dans ces conditions, l’exécution de son renvoi devrait être considérée comme illicite et inexigible, que le Tribunal précise d’emblée que les circonstances pénales évoquées par le SEM dans sa décision du 6 juillet 2020 sont sans incidence sur l’issue de la présente procédure, qu’il retient, à l’instar du SEM, que les nouveaux motifs allégués par le recourant ne permettent pas de lui reconnaître la qualité de réfugié, qu’il est certes admis que les adeptes du bahaïsme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E-5466/2021 du 22 décembre 2021 p. 7 ; E-2642/2020 du 13 juillet 2020 consid. 7.3 ; E-4382/2020 du 22 septembre 2020 consid. 7.3 ; cf. également arrêt du Tribunal E-6398/2020 du 11 janvier 2021 consid. 7.4.2 s.), que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qu’une conversion doit être reconnaissable et être en principe suivie d’actes, que le demandeur d'asile doit ainsi pouvoir persuader les autorités qu’en raison de son intime conviction, il a abandonné son ancienne religion et, le cas échéant, s'est tourné vers une nouvelle, qu’en général, la participation à des services religieux ou autres déclarations de particuliers ne suffisent pas à elles seules à rendre crédible une conversion, qu’en l’espèce, le recourant ne fait pas état des motivations ayant présidé à sa conversion,</w:t>
      </w:r>
    </w:p>
    <w:p>
      <w:r>
        <w:t>E-3377/2022 Page 8 que rien n’indique que celles-ci reposent sur sa connaissance de la religion bahaïe, que l’intéressé n’a à aucun moment fait valoir un intérêt pour la communauté bahaïe en Suisse, avant le dépôt de sa demande multiple, que partant, le choix du moment de sa profession de foi bahaïe et de son affiliation formelle à cette communauté en Suisse ne paraît pas exempt de considérations pratiques, que par ailleurs, l’intéressé n’a pas eu l’occasion d’exercer au service de la communauté bahaïe des activités particulières ou ayant revêtu une quelconque publicité, que les moyens de preuve produits ne permettent pas de contrebalancer cette appréciation, que dans ces conditions, il n’y a pas de raison de penser que les autorités de son pays l’aient identifié comme un véritable converti, ni même qu’elles aient eu vent de son appartenance formelle au bahaïsme, que compte tenu de ce qui précède, le recourant n’est pas exposé à un risque de persécution en Iran du fait de son appartenance religieuse, qu'il convient pour le surplus de renvoyer aux considérants de la décision attaquée, dès lors que ceux-ci sont suffisamment explicites et motivés (cf. art. 109 al. 3 LTF, par renvoi de l’art. 4 PA), que le recours doit ainsi être rejeté, en tant qu'il conteste la non-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w:t>
      </w:r>
    </w:p>
    <w:p>
      <w:r>
        <w:t>E-3377/2022 Page 9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l’Iran ne se trouve pas en proie à une guerre, une guerre civile ou une violence généralisée, que comme déjà relevé en procédure ordinaire (cf. arrêt E-4485/2020 du</w:t>
      </w:r>
    </w:p>
    <w:p>
      <w:r>
        <w:rPr>
          <w:b/>
        </w:rPr>
        <w:t>E. 28</w:t>
      </w:r>
    </w:p>
    <w:p>
      <w:r>
        <w:t>septembre 2020 p. 10), le recourant est au bénéfice d’une formation et d’une expérience professionnelle, possède des terrains et dispose d'un réseau familial dans son pays, sur lequel il pourra compter à son retour, que le certificat d’hospitalisation du 28 février 2022 et le certificat d’incapacité de travail du 31 mai 2022 ne révèlent pas d’élément nouveau déterminant, en particulier un éventuel traitement qui rendrait le renvoi inexigible, que le rapport médical du 20 juin 2022 fait quant à lui état d’hospitalisations psychiatriques, d’épisodes de rechute dans la consommation d’alcool, ainsi que d’un épisode dépressif majeur avec risque suicidaire très élevé, que ceci dit, comme l’a également déjà retenu le Tribunal, l’état de santé psychique de l’intéressé, dont la dégradation apparaît intimement liée à un contexte de vives difficultés relationnelles, judiciaires et administratives en Suisse, ne s’oppose pas à l’exécution de son renvoi, dès lors que ce dernier pourra obtenir les soins dont il aura besoin en Iran, que s’agissant des risques suicidaires qu’il présente, selon la jurisprudence constante de la Cour européenne des droit de l’homme (CourEDH), les menaces de suicide n’astreignent pas la Suisse à s’abstenir d’exécuter le renvoi, mais à prendre des mesures concrètes pour en prévenir la</w:t>
      </w:r>
    </w:p>
    <w:p>
      <w:r>
        <w:t>E-3377/2022 Page 10 réalisation (cf. notamment arrêt affaire A.S. c. Suisse du 30 juin 2015, n° 39350/13, par. 34 et réf. cit.), qu’ainsi,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que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qu'en dépit de l'impact négatif qu'est susceptible d'engendrer une décision relative à l'exécution du renvoi sur l'état de santé de l’intéressé, il appartiendra aux personnes qui le suivent de prendre les mesures adéquates pour le préparer à la perspective d'un retour et aux autorités d'exécution de vérifier le besoin de mesures particulières que requerrait son état lors de l’organisation du renvoi, que l'exécution du renvoi est enfin possible (cf. art. 83 al. 2 LEI ; ATAF 2008/34 consid. 12 et jurisp. cit.), le recourant étant tenu de collaborer à l'obtention de documents de voyage lui permettant de retourner dans son pays d'origine (cf. art. 8 al. 4 LAsi), qu'en conséquence, le recours est également rejeté, en tant qu’il conteste la décision de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irrecevable, le recours ayant de jure un tel effet et celui-ci n'ayant pas été retiré par le SEM, qu’avec le présent prononcé, la demande de dispense de paiement d’une avance de frais devient sans objet,</w:t>
      </w:r>
    </w:p>
    <w:p>
      <w:r>
        <w:t>E-3377/2022 Page 11 que les conclusions du recours étant d’emblée vouées à l’échec, la demande d’assistance judiciaire partielle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E-3377/2022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