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E-3369/2021 vom 6. August 2021</w:t>
      </w:r>
    </w:p>
    <w:p>
      <w:r>
        <w:t>Bundesverwaltungsgericht, 2021-08-06, DE</w:t>
      </w:r>
    </w:p>
    <w:p>
      <w:r>
        <w:rPr>
          <w:b/>
        </w:rPr>
        <w:t xml:space="preserve">Quelle: </w:t>
      </w:r>
      <w:r>
        <w:t>https://mcp.opencaselaw.ch/entscheid/bvger_E-3369_2021</w:t>
      </w:r>
    </w:p>
    <w:p>
      <w:r>
        <w:t>FR: TAF E-3369/2021 du 6 août 2021</w:t>
      </w:r>
    </w:p>
    <w:p>
      <w:r>
        <w:t>IT: TAF E-3369/2021 del 6 agosto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10 der Verordnung vom 1. April 2020 über Massnahmen im Asylbereich im Zusammenhang mit dem Coronavirus [Covid-19-Verordnung Asyl, SR 142.318]; Art. 48 Abs. 1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In der Beschwerde wird zunächst eine Verletzung des rechtlichen Gehörs in Form einer unrichtigen und unvollständigen Sachverhaltsfeststellung gerügt. Dabei handelt es sich um eine formelle Rüge, welche vorab zu beurteilen ist, da sie gegebenenfalls geeignet ist, eine Kassation der vorinstanzlichen Verfügung zu bewirken.</w:t>
      </w:r>
    </w:p>
    <w:p>
      <w:r>
        <w:rPr>
          <w:b/>
        </w:rPr>
        <w:t>E. 4.2</w:t>
      </w:r>
    </w:p>
    <w:p>
      <w:r>
        <w:t>Unrichtig ist die Sachverhaltsfeststellung,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Der Beschwerdeführer bringt vor, die Vorinstanz habe keine konkrete Beurteilung seines Risikoprofils vorgenommen, sondern verweise pauschal auf die Erwägungen im Urteil E-1401/2017 vom 17. April 2018. Seither habe sich aber die Lage in Sri Lanka massiv verändert, was durch die eingereichten Berichte belegt sei. Auch die Zulässigkeit des Wegweisungsvollzuges habe sie nicht individuell geprüft. Die Vorinstanz hat in der angefochtenen Verfügung zunächst auf die Erwägungen im Urteil E-1401/2017 vom 17. April 2018 verwiesen, in welchem rechtskräftig festgestellt wurde, der Beschwerdeführer habe keine Verbindung zu den LTTE glaubhaft machen können und weise kein Risikoprofil auf. Ferner stellte sie fest, die nach diesem Urteil eingetretenen Veränderungen der politischen Situation und Menschenrechtslage in Sri Lanka wiesen keinen konkreten Bezug zu seiner Person auf. Entsprechend erübrigten sich weitere Abklärungen der Vorinstanz zur Lage in Sri Lanka. Ob die Vorinstanz das Vorliegen eines Risikoprofils zu Recht verneint hat, ist nicht eine Frage der Sachverhaltsfeststellung, sondern der materiellen Würdigung. Zur Zulässigkeit des Wegweisungsvollzuges führte die Vor-instanz unter Hinweis auf die Rechtsprechung des Europäischen Gerichtshofs für Menschenrechte (EGMR) sodann aus, es sei nicht generell davon auszugehen, Rückkehrern drohe in Sri Lanka eine unmenschliche Behandlung, sondern es sei im Einzelfall eine Risikoeinschätzung vorzunehmen. Weder aus den Aussagen des Beschwerdeführers noch aus den Akten würden sich jedoch Anhaltspunkte dafür ergeben, dass ihm im Falle einer Rückkehr mit beachtlicher Wahrscheinlichkeit eine verbotene Strafe oder Behandlung drohe. Diese Ausführungen sind zwar knapp, aber insgesamt ausreichend ausgefallen, zumal die Zulässigkeit des Wegweisungsvollzuges im ordentlichen Verfahren bereits umfassend geprüft wurde und der Beschwerdeführer in seinem Mehrfachgesuch nicht substanziiert begründet, inwiefern dem Vollzug der Wegweisung aufgrund der aktuellen Lage in seinem konkreten Fall völkerrechtliche Wegweisungsvollzugshindernisse entgegenstünden. Seine Begründung begnügt sich nämlich mit dem Hinweis auf seine LTTE-Verbindungen - die im ordentlichen Asylverfahren als unglaubhaft erachtet worden waren - sowie dem Vorbringen, alle nach Sri Lanka zurückkehrenden Asylsuchenden tamilischer Ethnie hätten Folter zu befürchten.</w:t>
      </w:r>
    </w:p>
    <w:p>
      <w:r>
        <w:rPr>
          <w:b/>
        </w:rPr>
        <w:t>E. 4.4</w:t>
      </w:r>
    </w:p>
    <w:p>
      <w:r>
        <w:t>Die formelle Rüge erweist sich angesichts dieser Sachlage als unbegründet, weshalb keine Veranlassung besteht, die Sache aus formellen Gründen aufzuheben und an die Vorinstanz zurückzuweisen. Der entsprechende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ihrer Verfügung führt die Vorinstanz aus, die Vorbringen des Beschwerdeführers hielten den Anforderungen an die Flüchtlingseigenschaft nach Art. 3 AsylG nicht stand. Bezüglich der Teilnahme an Demonstrationen in der Schweiz sei festzuhalten, dass der Beschwerdeführer keinerlei Angaben zu seinem exilpolitischen Engagement mache. Es sei demnach unklar, ob er sich auf die bereits im ordentlichen Verfahren geltend gemachten Demonstrationsteilnahmen beziehe oder ob er seither an weiteren Kundgebungen teilgenommen habe. Selbst wenn er nach Abschluss des ordentlichen Verfahrens an Demonstrationen teilgenommen hätte, sei aufgrund seiner knappen Angaben nicht davon auszugehen, dass er sich dabei besonders exponiert habe. Grundsätzlich sei festzuhalten, dass tamilische Personen, welche keine eigenen Verbindungen zu den LTTE hätten und sich exilpolitisch betätigen würden, die Flüchtlingseigenschaft in der Regel nicht erfüllten. Im vorliegenden Fall sei rechtskräftig festgestellt worden, es seien keine Hinweise ersichtlich, wonach der Beschwerdeführer aufgrund einer tatsächlichen oder vermeintlichen Verbindung zu den LTTE ins Visier der sri-lankischen Behörden geraten könnte. Auch unter Berücksichtigung der vorgebrachten exilpolitischen Tätigkeit sei nicht davon auszugehen, dass er ein besonders exponiertes Profil aufweise und bei einer Rückkehr von den sri-lankischen Behörden verdächtigt werde, den tamilischen Separatismus wiederaufleben zu lassen. Betreffend die eingereichten Berichte zur Lage in Sri Lanka sei feststellen, dass diese keinen individuellen Bezug zum Beschwerdeführer aufweisen würden. Mit der Wahl von Gotabaya Rajapaksa am 16. November 2019 zum Präsidenten und der Einsetzung sogenannter «Presidential Task Forces», die mehrheitlich mit Personen militärischen Hintergrunds besetzt worden seien, gingen Befürchtungen von Einschüchterungen von Minderheiten, Menschenrechtsaktivisten, Journalisten, Oppositionellen und weiteren regierungskritischen Personen einher. Tatsächlich habe die Überwachung der Zivilbevölkerung seit den Terroranschlägen von Ostern 2019 und nach der Präsidentschaftswahl zugenommen. Dennoch gebe es zum jetzigen Zeitpunkt keinen Anlass für die Annahme, dass ganze Volks- oder Berufsgruppen unter Präsident Rajapaksa einer Kollektivverfolgung ausgesetzt seien. Voraussetzung für die Annahme einer Verfolgungsgefahr aufgrund der Präsidentschaftswahl sei ein persönlicher Bezug der asylsuchenden Person zu diesem Ereignis respektive dessen Folgen. Dieser sei im vorliegenden Fall nicht überzeugend dargetan worden. Es reiche nicht aus, pauschal auf Entwicklungen in der jüngeren Vergangenheit oder mögliche Zukunftsszenarien zu verweisen. Die Anforderungen an die Annahme einer begründeten Furcht vor Verfolgung seien demnach nicht gegeben.</w:t>
      </w:r>
    </w:p>
    <w:p>
      <w:r>
        <w:rPr>
          <w:b/>
        </w:rPr>
        <w:t>E. 6.2</w:t>
      </w:r>
    </w:p>
    <w:p>
      <w:r>
        <w:t>In der Rechtsmitteleingabe bringt der Beschwerdeführer vor, er habe seine individuelle Gefährdung im Rahmen des Mehrfachgesuchs ausführlich dargelegt und anhand von Berichten diverser Organisationen belegt. Diese würden aufzeigen, dass Personen mit seinem Risikoprofil aufgrund von tatsächlichen oder vermeintlichen LTTE-Verbindungen eine Verfolgung in einem asylrelevanten Ausmass drohe. Als abgewiesener Asylgesuchsteller müsse er bei einer Rückkehr mit Verhaftung und Folter rechnen.</w:t>
      </w:r>
    </w:p>
    <w:p>
      <w:r>
        <w:rPr>
          <w:b/>
        </w:rPr>
        <w:t>E. 6.3</w:t>
      </w:r>
    </w:p>
    <w:p>
      <w:r>
        <w:t>Das Bundesverwaltungsgericht kommt in Übereinstimmung mit der Vorinstanz zum Schluss, dass der Beschwerdeführer keine in entscheidender Hinsicht veränderte Sachlage in Bezug auf die Flüchtlingseigenschaft darzutun vermag. Die Ausführungen in der Beschwerde sind nicht geeignet, zu einer anderen Beurteilung zu führen, zumal sie im Wesentlichen lediglich die im ordentlichen Verfahren geltend gemachten Asylgründe wiederholen, ohne sich in substanziierter Weise mit den zutreffenden Erwägungen in der angefochtenen Verfügung auseinanderzusetzen. Auch in der Rechtsmitteleingabe macht der Beschwerdeführer keinerlei Angaben zu seinem angeblichen exilpolitischen Engagement und reicht keine entsprechenden Beweismittel ein. Ebenso wenig zeigt er mit den allgemeinen Ausführungen und den eingereichten Berichten zur Situation in Sri Lanka auf, inwiefern die veränderte Lage zu einer konkreten Gefährdung seiner Person führen könnte, zumal das Bundesverwaltungsgericht im Urteil E-1410/2017 vom 17. April 2018 rechtskräftig festgestellte, die vorgebrachten Verbindungen zu den LTTE seien nicht glaubhaft und er verfüge über kein Risikoprofil. Zur Vermeidung von Wiederholungen kann vollumfänglich auf die zutreffenden Erwägungen in der angefochtenen Verfügung verwiesen werden.</w:t>
      </w:r>
    </w:p>
    <w:p>
      <w:r>
        <w:rPr>
          <w:b/>
        </w:rPr>
        <w:t>E. 6.4</w:t>
      </w:r>
    </w:p>
    <w:p>
      <w:r>
        <w:t>Zusammenfassend hat die Vorinstanz die Flüchtlingseigenschaft des Beschwerdeführers zu Recht verneint und das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über keine ausländerrechtliche Aufenthaltsbewilligung. Zudem vermag er mit seinen pauschalen Vorbringen zum angeblich eingeleiteten Ehevorbereitungsverfahren offensichtlich noch keinen Anspruch auf Erteilung einer solchen plausibel zu machen. Weder seinen Ausführungen noch den Akten sind Angaben zur Beziehung mit seiner Verlobten zu entnehmen. Auch wurden keine entsprechenden Beweismittel eingereicht. Die Wegweisung wurde demnach zu Recht angeordnet (vgl. BVGE 2013/37 E. 4.4; 2009/50 E. 9, je m.w.H.). Dem Beschwerdeführer bleibt es unbenommen, einen allfälligen Anspruch bei der zuständigen kantonalen Behörde geltend zu machen und ein Gesuch um Erteilung einer Aufenthaltsbewilligung einzureichen.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sind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Referenzurteil des BVGer E-1866/2015 vom 15. Juli 2016). Nachdem der Beschwerdeführer nicht darlegen konnte, dass er bei einer Rückkehr nach Sri Lanka befürchten müsste, die Aufmerksamkeit der sri-lankischen Behörden in einem flüchtlingsrechtlich relevanten Ausmass auf sich zu ziehen, bestehen auch keine Anhaltspunkte dafür, ihm würde aus demselben Grund eine menschenrechtswidrige Behandlung in seinem Heimatstaat drohen. Alleine aus seiner tamilischen Ethnie und dem Umstand, dass er nach mehrjähriger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Daran vermögen der Regierungswechsel vom November 2019 sowie die seitherigen Entwicklungen in Sri Lanka nichts zu ändern (vgl. statt vieler Urteil des BVGer E-4915/2020 vom 14. Januar 2021 E. 6.10). Der Vollzug der Wegweisung erweist sich demnach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8.3.1</w:t>
      </w:r>
    </w:p>
    <w:p>
      <w:r>
        <w:t>Das Bundesverwaltungsgericht geht auch heute nicht von einer Situation allgemeiner Gewalt in Sri Lanka aus (vgl. statt vieler das bereits erwähnte Urteil E-4915/2020 E. 8.3.2 mit Hinweisen).</w:t>
      </w:r>
    </w:p>
    <w:p>
      <w:r>
        <w:rPr>
          <w:b/>
        </w:rPr>
        <w:t>E. 8.3.2</w:t>
      </w:r>
    </w:p>
    <w:p>
      <w:r>
        <w:t>Zur individuellen Zumutbarkeit führte die Vorinstanz aus, zunächst könne vollumfänglich auf die Erwägungen im Urteil E-1410/2017 vom 17. April 2018 verwiesen werden, worin der Vollzug der Wegweisung als zumutbar erachtet worden sei. Der Beschwerdeführer lege nicht dar, inwiefern sich seine Lage seit Abschluss des ordentlichen Verfahrens in grundlegender Weise verschlechtert haben sollte. Er sei (...)-jährig und offenbar gesund. Obwohl er geltend mache, die finanzielle Situation seiner Familie sei prekär, sei nicht von einer konkreten Gefährdung auszugehen. Während seines Aufenthalts in der Schweiz habe er eine weitere Sprache erlernt und Schritte hinsichtlich einer beruflichen Integration vorgenommen, was ihm bei einer Rückkehr von Nutzen sein könnte.</w:t>
      </w:r>
    </w:p>
    <w:p>
      <w:r>
        <w:rPr>
          <w:b/>
        </w:rPr>
        <w:t>E. 8.3.3</w:t>
      </w:r>
    </w:p>
    <w:p>
      <w:r>
        <w:t>Das Gericht schliesslich sich im Wesentlichen den zutreffenden Erwägungen der Vorinstanz zur Zumutbarkeit des Wegweisungsvollzuges an. Auch wenn dem Beschwerdeführer beizupflichten ist, dass das Erlernen der deutschen Sprache bei der beruflichen Wiedereingliederung in Sri Lanka unter Umständen nicht von grossem Nutzen sein könnte, ist dennoch nicht davon auszugehen, dass er bei einer Rückkehr in eine existenzbedrohende Situation geraten würde. Weitergehend kann auf die Erwägungen im Urteil E-1410/2017 vom 17. April 2018 verwiesen werden. Ferner ergeben sich aus den Folgen des Regierungswechsels vom November 2019 ebenfalls keine Hinweise individueller Art auf eine konkrete Gefährdung des Beschwerdeführers. Der Vollzug der Wegweisung erweist sich demnach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Aufgrund der vorstehenden Erwägungen ergibt sich, dass seine Begehren als aussichtlos zu bezeichnen sind, womit eine der kumulativ zu erfüllenden Voraussetzungen gemäss Art. 65 Abs. 1 VwVG nicht gegeben ist, weshalb das Gesuch abzuweisen ist.</w:t>
      </w:r>
    </w:p>
    <w:p>
      <w:r>
        <w:rPr>
          <w:b/>
        </w:rPr>
        <w:t>E. 10.2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w:t>
      </w:r>
    </w:p>
    <w:p>
      <w:r>
        <w:rPr>
          <w:b/>
        </w:rPr>
        <w:t>E. 10.3</w:t>
      </w:r>
    </w:p>
    <w:p>
      <w:r>
        <w:t>Mit dem vorliegenden Urteil wird der Antrag auf Verzicht auf die Erhebung eines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