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E-3369/2012 vom 4. September 2012</w:t>
      </w:r>
    </w:p>
    <w:p>
      <w:r>
        <w:t>Bundesverwaltungsgericht, 2012-09-04, DE</w:t>
      </w:r>
    </w:p>
    <w:p>
      <w:r>
        <w:rPr>
          <w:b/>
        </w:rPr>
        <w:t xml:space="preserve">Quelle: </w:t>
      </w:r>
      <w:r>
        <w:t>https://mcp.opencaselaw.ch/entscheid/bvger_E-3369_2012</w:t>
      </w:r>
    </w:p>
    <w:p>
      <w:r>
        <w:t>FR: TAF E-3369/2012 du 4 septembre 2012</w:t>
      </w:r>
    </w:p>
    <w:p>
      <w:r>
        <w:t>IT: TAF E-3369/2012 del 4 settembre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1.3</w:t>
      </w:r>
    </w:p>
    <w:p>
      <w:r>
        <w:t>Die Beschwerdeführerin ist als Verfügungsadressatin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Ein Asylgesuch kann gemäss Art. 19 Abs. 1 AsylG im Ausland bei einer schweizerischen Vertretung gestellt werden, die es mit einem Bericht an das Bundesamt überweist (Art. 20 Abs. 1 AsylG).</w:t>
      </w:r>
    </w:p>
    <w:p>
      <w:r>
        <w:rPr>
          <w:b/>
        </w:rPr>
        <w:t>E. 4.2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5.1 S. 128, vgl. auch die Zusammenfassung der Rechtsprechung im Urteil D-2018/2011 vom 14. Septem­ber 2011 E. 7.1).</w:t>
      </w:r>
    </w:p>
    <w:p>
      <w:r>
        <w:rPr>
          <w:b/>
        </w:rPr>
        <w:t>E. 5.1</w:t>
      </w:r>
    </w:p>
    <w:p>
      <w:r>
        <w:t>Die Vorinstanz stellt in der angefochtenen Verfügung fest, die Schilderungen der Beschwerdeführerin liessen darauf schliessen, dass die geltend gemachten Schwierigkeiten in Somalia mit der Al-Shabaab asylbeachtlich seien. Es sei deshalb zu prüfen, ob einer Asylgewährung durch die Schweiz der Ausschlussgrund von Art. 52 Abs. 2 AsylG entgegenstehe. Aufgrund der Akten ergebe sich, dass sich die Beschwerdeführerin seit vier Jahren zusammen mit der grossen Familie ihres Bruders in Äthiopien aufhalte. Sie würden in Mietwohnungen leben und hätten sich nicht in einem Flüchtlingslager des UNHCR registrieren lassen. Sie seien aus (...) Kreisen finanziell unterstützt worden. Laut aktuellen Berichten des UNHCR zu Äthiopien befänden sich zur Zeit über 120'000 Flüchtlinge somalischer Herkunft in Äthiopien, die sich beim UNHCR hätten registrieren lassen. Dazu kämen zahlreiche weitere Personen aus Somalia, die keine Registrierung anstreben würden. Vor diesem Hintergrund sei nicht zu verkennen, dass die Lage vor Ort für die Beschwerdeführenden und ihre Familienangehörigen nicht einfach sei. Dennoch beständen keine konkreten Anhaltspunkte zur Annahme, ein weiterer Verbleib in Äthiopien sei nicht zumutbar oder möglich. Die Beschwerdeführerin sei taub (recte: taubstumm). Gesundheitlich Probleme mache sie nicht geltend gemacht. Es würden auch keine Hinweise darauf bestehen, dass sie sich in einer akuten Notsituation befinde beziehungsweise die Gefahr bestehe, in eine solche zu geraten. Sie lebe im Familienverband und könne auf den Schutz und die Unterstützung der Mitglieder ihrer intakten erweiterten Familie zurückgreifen. Falls eine Notsituation eintreffe, sei es der Beschwerdeführerin zuzumuten, sich beim UNHCR zu melden und in einem Flüchtlingslager um Aufnahme zu ersuchen. In einem vom UNHCR betreuten Flüchtlingslager würden die Grundbedürfnisse grundsätzlich gedeckt und eine medizinische Grundversorgung sei vorhanden. Sodann habe die Beschwerdeführerin keine besonders engen Beziehungen zur Schweiz. Die Einreise sei nicht zu bewilligen und das Asylgesuch abzulehnen.</w:t>
      </w:r>
    </w:p>
    <w:p>
      <w:r>
        <w:rPr>
          <w:b/>
        </w:rPr>
        <w:t>E. 5.2</w:t>
      </w:r>
    </w:p>
    <w:p>
      <w:r>
        <w:t>In der Rechtsmitteleingabe beschränkt sich die Beschwerdeführerin auf die Wiederholung der Vorbringen im Asylgesuch. Sie setzt sich nicht ansatzweise mit der Begründung in der angefochtenen Verfügung auseinander und zeigt nicht auf, inwiefern die Verfügung Bundesrecht verletzen oder aus einem anderen Beschwerdegrund mangelhaft sein soll. Solches ist auch nicht ersichtlich. Die Vorinstanz erwägt zutreffend, dass die Beschwerdeführerin seit vier Jahren in Äthiopien lebt, dort weder verfolgt wird noch sich in einer Notsituation befindet und deshalb den subsidiären Schutz der Schweiz gemäss Art. 52 Abs. 2 AsylG nicht benötigt. Da die Beschwerdeführerin auch keine Beziehungsnähe zur Schweiz geltend macht, hat die Vorinstanz ihr zu Recht die Einreise in die Schweiz nicht bewilligt und das Asylgesuch aus dem Ausland abgewiesen.</w:t>
      </w:r>
    </w:p>
    <w:p>
      <w:r>
        <w:rPr>
          <w:b/>
        </w:rPr>
        <w:t>E. 6</w:t>
      </w:r>
    </w:p>
    <w:p>
      <w:r>
        <w:t>Aus diesen Erwägungen ergibt sich, dass die angefochtene Verfügung Bundesrecht nicht verletzt und noch sonst wie zu beanstanden ist (Art. 106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