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E-3363/2009 vom 27. September 2012</w:t>
      </w:r>
    </w:p>
    <w:p>
      <w:r>
        <w:t>Bundesverwaltungsgericht, 2012-09-27, DE</w:t>
      </w:r>
    </w:p>
    <w:p>
      <w:r>
        <w:rPr>
          <w:b/>
        </w:rPr>
        <w:t xml:space="preserve">Quelle: </w:t>
      </w:r>
      <w:r>
        <w:t>https://mcp.opencaselaw.ch/entscheid/bvger_E-3363_2009</w:t>
      </w:r>
    </w:p>
    <w:p>
      <w:r>
        <w:t>FR: TAF E-3363/2009 du 27 septembre 2012</w:t>
      </w:r>
    </w:p>
    <w:p>
      <w:r>
        <w:t>IT: TAF E-3363/2009 del 27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Nachdem die Vorinstanz mit der vorliegend angefochtenen Verfügung vom 22. April 2009 die vorläufige Aufnahme des Beschwerdeführers in der Schweiz anordnete, ist nachfolgend einzig zu beurteilen, ob das BFM zu Recht hinsichtlich Flüchtlingseigenschaft und Asyl negativ entschied und die Wegweisung verfügte.</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w:t>
      </w:r>
    </w:p>
    <w:p>
      <w:r>
        <w:rPr>
          <w:b/>
        </w:rPr>
        <w:t>E. 3.2</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ablehnenden Verfügung führte das BFM im Wesentlichen aus, die Vorbringen des Beschwerdeführers genügten den Anforderungen an die Flüchtlingseigenschaft nicht. Gemäss dem Subsidiaritätsprinzip seien Personen mit einer innerstaatlichen Fluchtalternative nicht auf den Schutz eines Drittstaates angewiesen. Die Probleme und Verfolgungsmassnahmen in Vavuniya hätten lediglich lokalen Charakter und seien durch den Wegzug nach Colombo - abgesehen von dem einen Telefonanruf durch Aktivisten der Karuna - unterbrochen worden. Im Übrigen sei der Beschwerdeführer juristisch unbescholten und weise kein besonderes Risikoprofil auf. Die geltend gemachte Nachfrage von Leuten der EPDP im Haus in Colombo, wo sie gewohnt hätten, sei mit Zweifeln behaftet, zumal nicht nachvollziehbar sei, weshalb diese mit ihrem Gastgeber und nicht direkt mit dem Beschwerdeführer gesprochen hätten, zumal er nebenan gewesen sei. Ausser einer grundsätzlich verständlichen Furcht wegen der allgemeinen Situation der Tamilen habe er somit in Colombo keine asylrelevanten Probleme gehabt. Er sei deshalb nicht auf den Schutz der Schweiz angewiesen. Den Vollzug der Wegweisung schob die Vorinstanz zugunsten einer vorläufigen Aufnahme auf, da eine Rückführung in den Heimatstaat in Würdigung sämtlicher Umstände und unter Berücksichtigung der Aktenlage im gegenwärtigen Zeitpunkt nicht zumutbar sei.</w:t>
      </w:r>
    </w:p>
    <w:p>
      <w:r>
        <w:rPr>
          <w:b/>
        </w:rPr>
        <w:t>E. 4.2</w:t>
      </w:r>
    </w:p>
    <w:p>
      <w:r>
        <w:t>In seiner Rechtsmitteleingabe machte der Beschwerdeführer im Wesentlichen geltend, der von der Vorinstanz festgehaltene Sachverhalt bedürfe einiger Ergänzungen. So habe er ausgesagt, nach dem Beschuss seines Dreiradtaxis sei er von mehreren Polizisten mehrmals geschlagen worden und habe einen Tag in Haft verbracht. Bei einem weiteren Vorfall sei er bei einem Polizeicamp in I.________ angehalten und von Polizisten mit einer Pistole und einer Handgranate eingeschüchtert und geschlagen worden, wobei er Todesangst erlitten habe. Er könne nicht nach Sri Lanka zurückkehren, da er dort der Verfolgung und Übergriffen bis hin zur Ermordung ausgesetzt sei, weil ihm und seiner Familie vorgeworfen werde, den LTTE anzugehören. Die Glaubhaftigkeit seiner Aussagen werde von der Vorinstanz nicht bestritten. Lediglich einzelne Punkte seien als unklar betrachtet worden, was aber nicht zwangsläufig in einer direkten Abhängigkeit zur Glaubhaftigkeit der wesentlichen Vorbringen stehen müsse. Ausserdem habe das BFM den geltend gemachten Sachverhalt falsch gewürdigt. So gehe es davon aus, dass das Gerichtsverfahren für den Beschwerdeführer positiv enden werde, weshalb die Asylgründe nicht erfüllt seien. Dabei müsse aber berücksichtigt werden, dass selbst bei einem Freispruch des Beschwerdeführers nicht alle Probleme aus der Welt geschaffen würden, sondern dass sich dann die verurteilten Polizisten wohl an ihm rächen würden. Ausserdem sei die Geldforderung der Karuna-Gruppe nach wie vor offen. Es könne deshalb nicht von einer nur lokalen Bedrohung ausgegangen werden, weshalb der Beschwerdeführer die Anforderungen an die Flüchtlingseigenschaft gemäss Art. 3 AsylG erfülle.</w:t>
      </w:r>
    </w:p>
    <w:p>
      <w:r>
        <w:rPr>
          <w:b/>
        </w:rPr>
        <w:t>E. 4.3</w:t>
      </w:r>
    </w:p>
    <w:p>
      <w:r>
        <w:t>In ihrer Vernehmlassung legte die Vorinstanz dar, die Beschwerdeschrift enthalte keine neuen erheblichen Tatsachen oder Beweismittel, welche eine Änderung ihres Standpunktes rechtfertigen könnten, weshalb sie vollumfänglich auf die Erwägungen in ihrer Verfügung verweise und die Ablehnung der Beschwerde beantrage. Betreffend das Grundsatzurteil des Bundesverwaltungsgerichts zur innerstaatlichen Fluchtalternative (BVGE 2011/51) argumentierte sie, zum Zeitpunkt des Erlasses der Verfügung sei es gängige Praxis gewesen, bei Vorhandensein einer innerstaatlichen Fluchtalternative aus prozessökonomischen Gründen direkt auf diese zu verweisen und auf die Prüfung der Flüchtlingseigenschaft zu verzichten. Im vorliegenden Fall werde eine Gefährdung durch die Karuna-Gruppe, die EPDP und die sri-lankische Armee geltend gemacht. Die Karuna-Gruppe existiere als paramilitärische Gruppierung nicht mehr. Der Einfluss der bewaffneten Gruppierungen in Sri Lanka habe grundsätzlich seit dem Ende der Kriegshandlungen im Mai 2009 stark abgenommen. Obwohl nicht ausgeschlossen werden könne, dass sich frühere Angehörige solcher Gruppierungen weiterhin kriminell betätigten und auch einzelne Angehörige der sri-lankischen Sicherheitskräfte an solchen Vorkommnissen beteiligt seien, könnten den Akten keine Hinweise entnommen werden, welche betreffend den Beschwerdeführer auf eine grundsätzliche Schutzunwilligkeit des Staates hindeuten würden. Diese Erkenntnis werde auch dadurch bekräftigt, dass das von ihm gegen die Polizeibeamten angestrengte Gerichtverfahren eingeleitet worden sei und der Richter den fehlbaren Polizisten für schuldig befunden habe. Im Übrigen sei bis dato kein Beleg des Gerichtsverfahrens zu den Akten gereicht worden. Der Beschwerdeführer sei somit nicht auf eine innerstaatliche Schutzalternative im Heimatland und infolgedessen auch nicht auf den Schutz der Schweiz angewiesen. Dies umso mehr, als sich die Sicherheitslage in Sri Lanka seit Beendigung des militärischen Konflikts zwischen der sri-lankischen Armee und den LTTE im Mai 2009 in bedeutsamer Weise stabilisiert habe.</w:t>
      </w:r>
    </w:p>
    <w:p>
      <w:r>
        <w:rPr>
          <w:b/>
        </w:rPr>
        <w:t>E. 4.4</w:t>
      </w:r>
    </w:p>
    <w:p>
      <w:r>
        <w:t>In seiner Replik führte der Beschwerdeführer aus, die Beschwerde sei trotz der vom Bundesamt vorgebrachten Argumente gutzuheissen. Er werde nicht nur von der Karuna-Gruppe bedroht, sondern habe auch Probleme im Zusammenhang mit der LTTE-Tätigkeit seines Vaters und befürchte vor allem Übergriffe durch die Polizei. Ausserdem werde vom Bundesverwaltungsgericht die Existenz von paramilitärischer Bedrohung in Sri Lanka anerkannt, was vom BFM nicht berücksichtigt worden sei. Insbesondere aber fehle vorliegend die Analyse der konkreten Gefährdung des Beschwerdeführers, der es gewagt habe, in einem Gerichtsverfahren gegenüber Behörden aufzutreten. Er erfülle mit seinem Profil eine Kumulation von Risikofaktoren, was von der Vorinstanz nicht erkannt werde. Das BFM unterschätze den Ernst der Situation, in welcher sich der Beschwerdeführer im Moment seiner Ausreise befunden habe. Es sei typisch für die nicht funktionierende sri-lankische Justiz in der ehemals umkämpften Nordprovinz, dass der Beschwerdeführer, nachdem er von der Polizei beschossen worden sei, als Angeklagter und nicht als Opfer vor Gericht gestanden habe. Die Annahme des BFM, die fehlbaren Polizisten seien bestraft worden und die Anklage gegen den Beschwerdeführer habe in einem Freispruch geendet, sei voreilig und werde der Realität eines ineffizienten und staatsnahen Justizsystems in einer von hoher Polizei- und Militärpräsenz geprägten Region nicht gerecht. Im Weiteren seien die Aussagen des Beschwerdeführers substanziiert, plausibel, widerspruchsfrei und somit glaubhaft.</w:t>
      </w:r>
    </w:p>
    <w:p>
      <w:r>
        <w:rPr>
          <w:b/>
        </w:rPr>
        <w:t>E. 5.1</w:t>
      </w:r>
    </w:p>
    <w:p>
      <w:r>
        <w:t>Das Bundesverwaltungsgericht kommt nach Abwägung sämtlicher Aussagen und unter Berücksichtigung des jüngsten Länderurteils des Bundesverwaltungsgerichts vom 27. Oktober 2011 (BVGE 2011/24), welches sich einlässlich mit den Risikogruppen der auch nach Beendigung des Bürgerkrieges noch gefährdeten Personen auseinandersetzt, zum Schluss, dass das BFM das Asylgesuch des Beschwerdeführers zu Unrecht abgewiesen hat.</w:t>
      </w:r>
    </w:p>
    <w:p>
      <w:r>
        <w:rPr>
          <w:b/>
        </w:rPr>
        <w:t>E. 5.2</w:t>
      </w:r>
    </w:p>
    <w:p>
      <w:r>
        <w:t>Vorab ist festzustellen, dass im Wesentlichen die Glaubhaftigkeit der Vorbringen des Beschwerdeführe weder von der Vorinstanz noch vom Bundesverwaltungsgericht bezweifelt wird. Die Ausführungen des Beschwerdeführers sind substanziiert, in sich schlüssig und plausibel. Sie stimmen ausserdem mit den Aussagen seiner Eltern, welche Asyl erhalten haben, und Geschwister überein und sind teilweise durch Zeitungsartikel belegt. Diese Einschätzung der Glaubhaftigkeit wird von der Schweizer Botschaft in Colombo in ihrem Übermittlungsschreiben an das BFM vom 12. Dezember 2007 geteilt (vgl. vorinstanzliche Akten A9).</w:t>
      </w:r>
    </w:p>
    <w:p>
      <w:r>
        <w:rPr>
          <w:b/>
        </w:rPr>
        <w:t>E. 5.3</w:t>
      </w:r>
    </w:p>
    <w:p>
      <w:r>
        <w:t>Im Folgenden ist somit zu prüfen, ob der Beschwerdeführer heute - nach Beendigung der Kriegshandlungen - noch ein Risikoprofil aufweist. Hierzu ist das oben erwähnte Länderurteil heranzuziehen, welches sich ausführlich mit der gegenwärtigen Lage in Sri Lanka und den Kategorien gefährdeter Personenkreise auseinandersetzt.</w:t>
      </w:r>
    </w:p>
    <w:p>
      <w:r>
        <w:rPr>
          <w:b/>
        </w:rPr>
        <w:t>E. 5.3.1</w:t>
      </w:r>
    </w:p>
    <w:p>
      <w:r>
        <w:t>Das erwähnte Urteil definiert diverse Personenkreise, die trotz der verbesserten Sicherheitslage seit Beendigung des militärischen Konfliktes immer noch einer erhöhten Verfolgungsgefahr ausgesetzt sind. Dazu gehören unter anderem Personen, welche auch nach Beendigung des Krieges verdächtigt werden, mit den LTTE in Verbindung zu stehen beziehungsweise gestanden zu haben, ebenso Anhänger des Ex-Generals Sarath Fonseka.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Die Einschätzung einer diesbezüglich gearteten Gefahr kann nicht generell vorgenommen werden, sondern hängt von den Gegebenheiten im Einzelfall ab.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(vgl. BVGE 2011/24 E. 8).</w:t>
      </w:r>
    </w:p>
    <w:p>
      <w:r>
        <w:rPr>
          <w:b/>
        </w:rPr>
        <w:t>E. 5.3.2</w:t>
      </w:r>
    </w:p>
    <w:p>
      <w:r>
        <w:t>Im Fall des Beschwerdeführers weisen diverse Umstände auf ein behördliches Interesse an seiner Person hin. Einerseits machte er geltend, nach dem Erscheinen einer Fotografie seines Vaters in einer Zeitung, die diesen bei der Teilnahme an einem LTTE-Trainingscamp zeige, und dessen darauffolgendem Verschwinden, werde seiner Familie vorgeworfen, zur LTTE zu gehören. Das Asylgesuch seines Vaters, der ebenfalls Gefährdung wegen seiner (zwangsweisen) Nähe zu den LTTE geltend machte, wurde von der Vorinstanz am 9. März 2012 gutgeheissen. Dazu kommt, dass auf das Dreiradtaxi des Beschwerdeführers geschossen und er daraufhin festgenommen worden sei, wobei ein Verfahren gegen ihn eingeleitet und er vor Gericht habe erscheinen müssen. Der Vollständigkeit halber ist diesbezüglich festzuhalten, dass der Beschwerdeführer gemäss Akten als Angeklagter vor Gericht gestanden hat, und nicht - wie vom BFM dargestellt - als Kläger. Nach diesem Vorfall sei es bei ihm zu Hause zu regelmässigen Razzien und zu telefonischen Drohungen gekommen. Die Polizisten, welche auf ihn geschossen hätten, seien anlässlich einer der Gerichtsverhandlungen verwarnt worden. Seine Befürchtung, dass aufgrund dieses Verfahrens sowohl von den Behörden als auch von den beteiligten Polizisten direkt eine Gefahr für ihn ausgehe, erscheint deshalb als durchaus plausibel. Im Weiteren erhöht der Umstand, dass seine Eltern in der Schweiz Asyl erhalten haben und auch seine Geschwister hier wohnhaft sind, die Gefahr des behördlichen Verdachts der finanziellen Unterstützung der Opposition. Dabei ist zu berücksichtigen, dass die Schutzgewährung gegenüber Übergriffen seitens paramilitärischer Gruppen durch die staatlichen Behörden gemäss dem erwähnten Länderurteil heute sowohl für den Norden als auch für den Osten von Sri Lanka als limitiert respektive als ineffizient beschrieben wird und die Polizei- und Militärbehörden bei Übergriffen ein hohes Mass an Straflosigkeit geniessen.</w:t>
      </w:r>
    </w:p>
    <w:p>
      <w:r>
        <w:rPr>
          <w:b/>
        </w:rPr>
        <w:t>E. 5.3.3</w:t>
      </w:r>
    </w:p>
    <w:p>
      <w:r>
        <w:t>Zusammenfassend kommt das Bundesverwaltungsgericht unter Berücksichtigung sämtlicher Risikofaktoren zum Schluss, dass der Beschwerdeführer einer bei einer Rückkehr gefährdeten Personenkategorie zugehört. Er hat aufgrund der erlittenen Verfolgung eine aktuell begründete Furcht vor Verfolgung und erfüllt sämtliche kumulativ erforderlichen Kriterien der Flüchtlingseigenschaft im Sinne von Art. 3 AsylG. Da die Vorinstanz in ihrer Verfügung vom 22. April 2009 von der Unzumutbarkeit des Wegweisungsvollzuges ausging, erübrigen sich Ausführungen zu einer innerstaatlichen Fluchtalternative (vgl. zur Publikation vorgesehenes Urteil des Bundesverwaltungsgerichts vom 21. Dezember 2011 D-4935/2007). Aufgrund des Gesagten ist dem Beschwerdeführer die Flüchtlingseigenschaft zuzuerkennen und Asyl zu gewähren. Gründe für eine Verweigerung des Asyls beziehungsweise einen Ausschluss aus der Flüchtlingseigenschaft liegen nicht vor (vgl. Art. 53 AsylG).</w:t>
      </w:r>
    </w:p>
    <w:p>
      <w:r>
        <w:rPr>
          <w:b/>
        </w:rPr>
        <w:t>E. 6</w:t>
      </w:r>
    </w:p>
    <w:p>
      <w:r>
        <w:t>Es ergibt sich, dass die angefochtene Verfügung Bundesrecht verletzt, den rechtserheblichen Sachverhalt unrichtig und unvollständig feststellt und unangemessen ist (Art. 106 AsylG). Die Beschwerde ist daher gutzuheissen und die Verfügung des BFM vom 22. April 2009 aufzuheben. Die Vorinstanz ist anzuweisen, den Beschwerdeführer als Flüchtling anzuerkennen und ihm in der Schweiz Asyl zu gewähren.</w:t>
      </w:r>
    </w:p>
    <w:p>
      <w:r>
        <w:rPr>
          <w:b/>
        </w:rPr>
        <w:t>E. 7</w:t>
      </w:r>
    </w:p>
    <w:p>
      <w:r>
        <w:t>Bei diesem Ausgang des Verfahrens sind keine Kosten aufzuerlegen (vgl. Art. 63 Abs. 1 und 2 VwVG).</w:t>
      </w:r>
    </w:p>
    <w:p>
      <w:r>
        <w:rPr>
          <w:b/>
        </w:rPr>
        <w:t>E. 8</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Auf die Einholung einer Kostennote kann verzichtet werden, da sich der notwendige Vertretungsaufwand aufgrund der Akten hinreichend zuverlässig abschätzen lässt. Die von der Vorinstanz zu entrichtende Parteientschädigung wird in Anwendung der genannten Bestimmungen und unter Berücksichtigung der massgeblichen Bemessungsfaktoren (Art. 8 ff. VGKE) auf insgesamt Fr. 1500.-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