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E-3357/2016 vom 26. Juli 2018</w:t>
      </w:r>
    </w:p>
    <w:p>
      <w:r>
        <w:t>Bundesverwaltungsgericht, 2018-07-26, DE</w:t>
      </w:r>
    </w:p>
    <w:p>
      <w:r>
        <w:rPr>
          <w:b/>
        </w:rPr>
        <w:t xml:space="preserve">Quelle: </w:t>
      </w:r>
      <w:r>
        <w:t>https://mcp.opencaselaw.ch/entscheid/bvger_E-3357_2016</w:t>
      </w:r>
    </w:p>
    <w:p>
      <w:r>
        <w:t>FR: TAF E-3357/2016 du 26 juillet 2018</w:t>
      </w:r>
    </w:p>
    <w:p>
      <w:r>
        <w:t>IT: TAF E-3357/2016 del 26 luglio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Prozessgegenstand im vorliegenden Verfahren ist auf die Frage beschränkt, ob der Beschwerdeführer aufgrund subjektiver Nachfluchtgründe im Sinne von Art. 54 AsylG infolge illegaler Ausreise die Flüchtlingseigenschaft erfüllt, und ob dem Vollzug der Wegweisung gegebenenfalls Hindernisse entgegenstehen. Demgegenüber sind die Dispositivziffern 2 (Ablehnung des Asylgesuchs) und 3 (Wegweisung aus der Schweiz) der Verfügung vom 28. Juli 2015 unangefochten in Rechtskraft erwachsen.</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5</w:t>
      </w:r>
    </w:p>
    <w:p>
      <w:r>
        <w:t>Der Beschwerdeführer macht im Sinne von subjektiven Nachfluchtgründen geltend, er habe Eritrea illegal verlassen, weshalb er bei einer Rückkehr dorthin mit flüchtlingsrelevanten Nachteilen zu rechnen hätte.</w:t>
      </w:r>
    </w:p>
    <w:p>
      <w:r>
        <w:rPr>
          <w:b/>
        </w:rPr>
        <w:t>E. 5.1</w:t>
      </w:r>
    </w:p>
    <w:p>
      <w:r>
        <w:t>Gemäss früherer Rechtsprechung wurde davon ausgegangen, dass mit einer illegalen Ausreise aus Eritrea ein subjektiver Nachfluchtgrund ge-schaffen werde, weil illegal Ausreisende bei einer Rückkehr nach Eritrea mit erheblichen Nachteilen im Sinne von Art. 3 AsylG rechnen müssten (vgl. Urteil des BVGer D-3892/2008 vom 6. April 2010 E. 5.3.3). Diese Rechtsprechung wurde aufgegeben. Das Bundesverwaltungsgericht gelangte im Koordinationsurteil D-7898/2015 vom 30. Januar 2017 (als Referenzurteil publiziert) nach einer eingehenden quellengestützten Lageanalyse (E. 4.6 - 4.6) zum Schluss, dass die frühere Praxis, wonach eine illegale Ausreise per se zur Flüchtlingseigenschaft geführt hatte, nicht mehr aufrechterhalten werden könne. Es sei nicht (mehr) mit überwiegender Wahrscheinlichkeit davon auszugehen, dass einer Person einzig aufgrund ihrer illegalen Ausreise aus Eritrea eine flüchtlingsrelevante Verfolgung drohe. Nicht flüchtlingsrechtlich relevant sei auch die Möglichkeit, dass jemand nach der Rückkehr in den Nationaldienst eingezogen werde. Ob letzterer Umstand unter dem Blickwinkel von Art. 3 EMRK und Art. 4 EMRK entscheidend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also zusätzlicher Anknüpfungspunkte, die zu einer Schärfung des Profils und dadurch zu einer flüchtlingsrechtlich relevanten Verfolgungsgefahr führen könnten (ebd. E. 5).</w:t>
      </w:r>
    </w:p>
    <w:p>
      <w:r>
        <w:rPr>
          <w:b/>
        </w:rPr>
        <w:t>E. 5.2</w:t>
      </w:r>
    </w:p>
    <w:p>
      <w:r>
        <w:t>Vorliegend sind keine solchen zusätzlichen Gefährdungsfaktoren ersichtlich. Insbesondere ist aufgrund der Aussagen des Beschwerdeführers nicht davon auszugehen, dass die eritreischen Behörden vor seiner Ausreise versucht haben, ihn zu rekrutieren, zumal er gar nicht geltend macht, von der Shabia oder den Soldaten kontaktiert worden zu sein, was er auf Beschwerdestufe bestätigt. Seine Befürchtung, bei einer Rückkehr nach Eritrea in den Nationaldienst eingezogen zu werden, vermag nach neuerer Rechtsprechung des Bundesverwaltungsgerichts aufgrund des fehlenden Verfolgungsmotivs ebenfalls keine flüchtlingsrechtliche Relevanz zu entfalten (vgl. das oben genannten Referenzurteil D-7898/2015 E. 5.1). Weder aus den Vorbringen des Beschwerdeführers noch aus den Akten ergeben sich andere Anknüpfungspunkte, die ihn in den Augen des eritreischen Regimes als missliebige Person erscheinen lassen könnten. Solche sind insbesondere auch weder in der früheren Haft seines Vaters noch in der Flucht seiner Angehörigen nach C._______ zu sehen, wie dies in der Eingabe vom 5. Oktober 2017 geltend gemacht wird. Wie bereits erwähnt, vermag eine illegale Ausreise für sich alleine keine Furcht vor einer zukünftigen flüchtlingsrelevanten Verfolgung zu begründen. Angesichts dieser Sachlage kann offenbleiben, zu welchem Zeitpunkt und auf welche Weise der Beschwerdeführer Eritrea verlassen hat. Die Frage der Glaubhaftigkeit der illegalen Ausreise kann mangels flüchtlingsrechtlicher Relevanz offenbleiben.</w:t>
      </w:r>
    </w:p>
    <w:p>
      <w:r>
        <w:rPr>
          <w:b/>
        </w:rPr>
        <w:t>E. 5.3</w:t>
      </w:r>
    </w:p>
    <w:p>
      <w:r>
        <w:t>Zusammenfassend ist festzustellen, dass es dem Beschwerdeführer nicht gelungen ist, subjektive Nachfluchtgründe darzutun. Das SEM hat zu Recht festgestellt, der Beschwerdeführer erfülle die Flüchtlingseigenschaft nicht.</w:t>
      </w:r>
    </w:p>
    <w:p>
      <w:r>
        <w:rPr>
          <w:b/>
        </w:rPr>
        <w:t>E. 6</w:t>
      </w:r>
    </w:p>
    <w:p>
      <w:r>
        <w:t>Lehnt das SEM das Asylgesuch ab oder tritt es darauf nicht ein, so verfügt es in der Regel die Wegweisung aus der Schweiz und ordnet den Vollzug an; es berücksichtigt dabei den Grundsatz der Einheit der Familie (Art. 44 AsylG). Wie bereits in Erwägung 3 ausgeführt, wurde die Wegweisung bereits rechtskräftig angeordnet.</w:t>
      </w:r>
    </w:p>
    <w:p>
      <w:r>
        <w:rPr>
          <w:b/>
        </w:rPr>
        <w:t>E. 7</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Der Vollzug ist nicht zulässig, wenn völkerrechtliche Verpflichtungen der Schweiz einer Weiterreise der Ausländerin oder des Ausländers in den Heimat-, Herkunfts- oder einen Drittstaat entgegenstehen (Art. 83 Abs. 3 AuG).</w:t>
      </w:r>
    </w:p>
    <w:p>
      <w:r>
        <w:rPr>
          <w:b/>
        </w:rPr>
        <w:t>E. 8.1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Im Zusammenhang mit der Frage einer drohenden Verletzung von Art. 3 sowie Art. 4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vor knapp einem Jahr im Rahmen des Referenzurteils D-2311/2016 vom 17. August 2017 eingehend analysiert; auf die entsprechenden Erwägungen kann verwiesen werden (E. 13.2 - 13.4). Der Beschwerdeführer ist eigenen Angaben zufolge vor Vollendung des 18. Lebensjahres und somit vor dem dienstpflichtigen Alter aus Eritrea ausgereist ist. Aufgrund seines Alters bei der Ausreise, ist seine Befürchtung, nach seiner Rückkehr noch in den eritreischen Nationaldienst eingezogen zu werden, begründet.</w:t>
      </w:r>
    </w:p>
    <w:p>
      <w:r>
        <w:rPr>
          <w:b/>
        </w:rPr>
        <w:t>E. 8.2.2</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 6.1.5).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 6.1.6 und E. 6.1.8).</w:t>
      </w:r>
    </w:p>
    <w:p>
      <w:r>
        <w:rPr>
          <w:b/>
        </w:rPr>
        <w:t>E. 8.2.3</w:t>
      </w:r>
    </w:p>
    <w:p>
      <w:r>
        <w:t>Nach dem soeben Erläuterten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 Aus den Akten ergeben sich ferner keine Anhaltspunkte für die Annahme, der Beschwerdeführer müsste bei einer Rückkehr in den Heimatstaat dort mit beachtlicher Wahrscheinlichkeit eine nach Art. 3 EMRK oder Art. 1 FoK verbotenen Strafe oder Behandlung befürchten. Der Hinweis auf das BVGer-Urteil E-3625/2013, wo der Schluss gezogen worden sei, aufgrund der in Eritrea herrschenden Willkür müssten zurückkehrende Eritreer bereits am Flughafen mit einer Befragung rechnen, im Verlauf welcher es zu unmenschlicher Behandlung oder Folter im Sinne von Art. 3 EMRK kommen könne, geht fehl, ist doch der Einzelfall, der jenem Urteil zugrunde lag, in keiner Hinsicht vergleichbar mit dem vorliegenden. Auch die problematische allgemeine Menschenrechtssituation in Eritrea lässt den Wegweisungsvollzug zum heutigen Zeitpunkt praxisgemäss nicht als unzulässig erscheinen.</w:t>
      </w:r>
    </w:p>
    <w:p>
      <w:r>
        <w:rPr>
          <w:b/>
        </w:rPr>
        <w:t>E. 8.3</w:t>
      </w:r>
    </w:p>
    <w:p>
      <w:r>
        <w:t>Der Vollzug der Wegweisung des Beschwerdeführers erweist sich damit - sowohl im Sinn der asyl- als auch der völkerrechtlichen Bestimmungen - als zulässig.</w:t>
      </w:r>
    </w:p>
    <w:p>
      <w:r>
        <w:rPr>
          <w:b/>
        </w:rPr>
        <w:t>E. 9</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9.1.1</w:t>
      </w:r>
    </w:p>
    <w:p>
      <w:r>
        <w:t>Die vorläufige Aufnahme wegen Unzumutbarkeit oder Unmöglichkeit des Wegweisungsvollzugs wird nicht verfügt, wenn die weggewiesene Person einerseits zu einer längerfristigen Freiheitsstrafe verurteilt wurde oder anderseits erheblich oder wiederholt gegen die öffentliche Sicherheit und Ordnung in der Schweiz verstossen hat oder diese gefährdet oder die innere oder die äussere Sicherheit gefährdet (Art. 83 Abs. 7 Bst. a und b AuG; identisch mit den allgemeinen Voraussetzungen des Widerrufs von ausländerrechtlichen Bewilligungen gemäss Art. 62 Abs. 1 Bst. b und c AuG). Der Ausschlussgrund von Art. 83 Abs. 7 Bst. a AuG setzt voraus, dass eine Person zu einer längerfristigen Freiheitsstrafe im In- oder Ausland verurteilt wurde. Das Bundesgericht hat den Begriff der "längerfristigen Freiheitsstrafe" im Sinne von Art. 62 Abs. 1 Bst. b AuG dahingehend konkretisiert, dass darunter im Sinne eines festen Grenzwertes eine Freiheitsstrafe von mehr als einem Jahr zu verstehen ist, wobei mehrere unterjährige Strafen bei der Berechnung nicht kumuliert werden dürfen. Keine Rolle spielt, ob die Sanktion bedingt, teilbedingt oder unbedingt ausgesprochen wurde (vgl. BGE 139 I 31 E. 2.1 m.w.H.). Dieser Praxis folgt das Bundesverwaltungsgericht im Bereich seiner endgültigen Entscheidkompetenz (vgl. u.a. Urteil des BVGer E-750/2013 vom 11. März 2014 E. 5.1 m.w.H.).</w:t>
      </w:r>
    </w:p>
    <w:p>
      <w:r>
        <w:rPr>
          <w:b/>
        </w:rPr>
        <w:t>E. 9.1.2</w:t>
      </w:r>
    </w:p>
    <w:p>
      <w:r>
        <w:t>Der Ausschluss von der vorläufigen Aufnahme respektive deren Aufhebung muss auch verhältnismässig sein (Art. 5 Abs. 2 BV und Art. 96 Abs. 1 AuG; vgl. BVGE 2007/32 E. 3.7). Dabei haben die für die Anordnung einer ausländerrechtlichen Massnahme zuständigen Behörden bei ihrer Ermessensausübung insbesondere das Interesse der Schweiz an der Verhinderung zukünftiger krimineller Handlungen dem privaten Interesse des Beschwerdeführers am Verbleib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2.1 und 4.3 m.w.H. sowie Urteil des BVGer E-750/2013 vom 11. März 2014 E. 5.2).</w:t>
      </w:r>
    </w:p>
    <w:p>
      <w:r>
        <w:rPr>
          <w:b/>
        </w:rPr>
        <w:t>E. 9.1.3</w:t>
      </w:r>
    </w:p>
    <w:p>
      <w:r>
        <w:t>Aus den Akten ergibt sich, dass das Bezirksgericht I._______ den Beschwerdeführer mit Entscheid vom (...) Februar 2018 wegen mehrfacher (...) und Missachtung der (...) schuldig gesprochen und zu einer unbedingten Freiheitsstrafe von 36 Monaten verurteilt hat; die Verurteilung ist rechtskräftig. Damit ist der Ausschlussgrund von Art. 83 Abs. 7 Bst. a AuG ohne weiteres als erfüllt zu erachten. Dies wird in der Stellungnahme vom 17. Mai 2018 denn auch nicht bestritten. Der Ausschluss von der vorläufigen Aufnahme ist aber auch verhältnismässig. Diesbezüglich ist festzuhalten, dass die Straftaten offensichtlich einen schweren Charakter aufweisen und hochwertigste Rechtsgüter betroffen sind. Zudem geht aus den Akten hervor, dass der Beschwerdeführer bereits vor diesen im Fokus stehenden Taten ([...]) wiederholt ein deliktisches Verhalten an den Tag gelegt hatte. So wurde er nach seiner Mitte Juni 2015 erfolgten Einreise in die Schweiz bereits ab April 2016 wegen Diebstahls, Angriffs, Hinderung einer Amtshandlung, Verunreinigung fremden Eigentums und mehrfacher Übertretung des Personenbeförderungsgesetzes zu Bussen sowie einer Geldstrafe verurteilt. Vor diesem Hintergrund besteht offensichtlich ein gewichtiges öffentliches Interesse am Vollzug der Wegweisung des Beschwerdeführers. Diesem öffentlichen Interesse steht der Aufenthalt des Beschwerdeführers in der Schweiz von etwas über drei Jahren entgegen, wobei zu unterstreichen ist, dass er sich bereits seit dem (...) November 2016 im vorzeitigen Strafvollzug befindet und zuvor in Untersuchungshaft war. Er hat somit weniger als die Hälfte seiner Zeit in der Schweiz in Freiheit verbracht. Es kann deshalb offensichtlich nicht von einer fortgeschrittenen Integration gesprochen werden, weshalb sein privates Interesse am Verbleib in der Schweiz als gering bezeichnet werden muss und das gewichtige öffentliche Interesse der Schweiz am Vollzug der Wegweisung des Beschwerdeführers dadurch kaum relativiert wird. Dies gilt auch hinsichtlich der die Ausführungen in der Stellungnahme vom 17. Mai 2018. So vermag das noch junge Alter des Beschwerdeführers - es handelt sich beim ihm nicht um einen Jugendlichen, sondern um einen bereits im Zeitpunkt der Einreise in die Schweiz erwachsenen Mann - nichts zu bewirken und das Vorbringen, der erstmalige Strafvollzug habe den Beschwerdeführer geprägt und er werde in der Zukunft nicht mehr straffällig sein, beruht bisher alleine auf einer Vermutung. Eine hinreichende Grundlage für eine positive Prognose liegt nicht vor. Soweit der Beschwerdeführer in diesem Zusammenhang auf die Verhältnisse im Heimatland verweist, kann zur Vermeidung von Wiederholungen auf die diesbezüglichen Ausführungen in der angefochtenen Verfügung verwiesen werden. Seine Angaben zu Familienangehörigen und weiteren ihm nahe stehenden Personen sind von offensichtlichen Widersprüchen geprägt und es ist in der Tat davon auszugehen, dass er die wahren Umstände seines familiären und sozialen Netzes verheimlicht. Bei den mit Eingabe vom 23. Dezember 2016 eingereichten Dokumenten handelt es sich lediglich um Kopien, denen aufgrund der damit verbundenen Manipulationsmöglichkeiten ohnehin nur ein geringer Beweiswert zukommt. Schliesslich ist festzuhalten, dass das auch der Umstand, dass der Beschwerdeführer bei seiner Rückkehr allenfalls in den eritreischen Nationaldienst eingezogen würde, das öffentliche Interesse am Vollzug seiner Wegweisung nicht zu relativieren vermag, zumal das Bundesverwaltungsgericht im bereits erwähnten Urteil E-5022/2017 zum Schluss gelangt ist, ein solcher Umstand gereiche nicht generell zur Annahme einer hinreichend konkreten Gefährdung im Sinne von Art. 83 Abs. 4 AuG (vgl. ebd. E. 6.2). Es erübrigt sich, auf weitere Einwände einzugehen, da sie am deutlich überwiegenden öffentlichen Interesse am Vollzug der rechtskräftigen Wegweisung gegenüber dem privaten Interesse des Beschwerdeführers am Verbleib in der Schweiz nichts zu ändern vermögen.</w:t>
      </w:r>
    </w:p>
    <w:p>
      <w:r>
        <w:rPr>
          <w:b/>
        </w:rPr>
        <w:t>E. 9.2</w:t>
      </w:r>
    </w:p>
    <w:p>
      <w:r>
        <w:t>Nach dem Gesagten ist der Tatbestand von Art. 83 Abs. 7 Bst. a AuG vorliegend erfüllt, weshalb eine vorläufige Aufnahme des Beschwerdeführers in Folge Unzumutbarkeit des Wegweisungsvollzuges von vornherein ausser Betracht fällt. Dies gilt auch in Bezug auf die Frage der technischen Durchführbarkeit des Vollzugs. Ergänzend kann allerdings festgehalten werden, dass das SEM die Möglichkeit des Vollzugs (Art. 83 Abs. 2 AuG) offensichtlich zu Recht bejaht hat, besteht doch für den Beschwerdeführer die Möglichkeit der freiwilligen Rückkehr und obliegt es im Übrigen ihm, sich bei der zuständigen Vertretung seines Heimatlandes die für eine Rückkehr notwendigen Reisedokumente zu beschaffen (vgl. Art. 8 Abs. 4 AsylG und dazu auch BVGE 2008/34 E. 12).</w:t>
      </w:r>
    </w:p>
    <w:p>
      <w:r>
        <w:rPr>
          <w:b/>
        </w:rPr>
        <w:t>E. 10</w:t>
      </w:r>
    </w:p>
    <w:p>
      <w:r>
        <w:t>Aus diesen Erwägungen ergibt sich, dass die angefochtene Verfügung Bundesrecht nicht verletzt, den rechtserheblichen Sachverhalt richtig sowie vollständig feststellt (Art. 106 Abs. 1 AsylG) hat und auch sonst nicht zu beanstanden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7. Juni 2016 die unentgeltliche Prozessführung gewährt wurde, und sich aus den Akten keine Hinweise auf eine Änderung seiner finanziellen Verhältnisse ergeben, sind keine Verfahrenskosten zu erheben.</w:t>
      </w:r>
    </w:p>
    <w:p>
      <w:r>
        <w:rPr>
          <w:b/>
        </w:rPr>
        <w:t>E. 11.2</w:t>
      </w:r>
    </w:p>
    <w:p>
      <w:r>
        <w:t>Mit derselben Verfügung wurde dem Beschwerdeführer MLaw Angela Stettler als amtliche Rechtsbeiständin bestellt. Die amtliche Rechtsvertretung ist unbesehen des Ausgangs des Verfahrens zu entschädigen. Bei amtlicher Vertretung wird in der Regel von einem Stundenansatz von Fr. 100.- bis Fr. 150.- für nichtanwaltliche Vertreterinnen und Vertreter ausgegangen (Art. 12 i.V.m. Art. 10 Abs. 2 VGKE), wobei nur der notwendige Aufwand entschädigt wird (Art. 8 Abs. 2 VGKE). Die Rechtsbeiständin weist in ihrer Kostennote vom 5. April 2018 einen zeitlichen Aufwand von 12.75 Stunden zu einem Stundenansatz von Fr. 250.-, zuzüglich Auslagen von Fr. 24.90 und Mehrwertsteuer, aus. Der Stundenansatz ist für die nichtanwaltliche Beiständin auf Fr. 150.- zu kürzen. Zudem erweist sich der zeitliche Aufwand als nicht vollumfänglich notwendig im Sinne des Gesetzes, zumal nicht bei allen Posten erkennbar ist, inwiefern sie mit dem vorliegenden Verfahren in Zusammenhang stehen. Der zeitliche Aufwand ist deshalb auf insgesamt 11 Stunden zu reduzieren. Das vom Bundesverwaltungsgericht auszurichtende amtliche Honorar der Rechtsbeiständin ist somit unter Berücksichtigung der in Betracht zu ziehenden Bemessungsfaktoren (Art. 9-13 VGKE) und der Eingabe vom 17. Mai 2018 nach dem Einreichen der Honorarnote auf insgesamt Fr. 1'900.-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