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E-3356/2015 vom 25. August 2015</w:t>
      </w:r>
    </w:p>
    <w:p>
      <w:r>
        <w:t>Bundesverwaltungsgericht, 2015-08-25, DE</w:t>
      </w:r>
    </w:p>
    <w:p>
      <w:r>
        <w:rPr>
          <w:b/>
        </w:rPr>
        <w:t xml:space="preserve">Quelle: </w:t>
      </w:r>
      <w:r>
        <w:t>https://mcp.opencaselaw.ch/entscheid/bvger_E-3356_2015</w:t>
      </w:r>
    </w:p>
    <w:p>
      <w:r>
        <w:t>FR: TAF E-3356/2015 du 25 août 2015</w:t>
      </w:r>
    </w:p>
    <w:p>
      <w:r>
        <w:t>IT: TAF E-3356/2015 del 25 agosto 2015</w:t>
      </w:r>
    </w:p>
    <w:p>
      <w:pPr>
        <w:pStyle w:val="Heading2"/>
      </w:pPr>
      <w:r>
        <w:t>Regeste</w:t>
      </w:r>
    </w:p>
    <w:p>
      <w:r>
        <w:t>Asyl (ohne Wegweisung)</w:t>
      </w:r>
    </w:p>
    <w:p>
      <w:pPr>
        <w:pStyle w:val="Heading2"/>
      </w:pPr>
      <w:r>
        <w:t>Erwägungen</w:t>
      </w:r>
    </w:p>
    <w:p>
      <w:r>
        <w:rPr>
          <w:b/>
        </w:rPr>
        <w:t>E. 1</w:t>
      </w:r>
    </w:p>
    <w:p>
      <w:r>
        <w:t>Gemäss Art. 31 VGG ist das Bundesverwaltungsgericht zur Beurteilung der vorliegenden Beschwerde zuständig und entscheidet endgültig (Art. 83 Bst. d Ziff. 1 BGG; Art. 105AsylG [SR 142.31]). Die Beschwerdeführer sind als Verfügungsadressaten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auf Verletzung von Bundesrecht und unrichtige oder unvollständige Feststellung des rechtserheblichen Sachverhalts hin (Art. 106 Abs. 1 AsylG).</w:t>
      </w:r>
    </w:p>
    <w:p>
      <w:r>
        <w:rPr>
          <w:b/>
        </w:rPr>
        <w:t>E. 3</w:t>
      </w:r>
    </w:p>
    <w:p>
      <w:r>
        <w:t>Gestützt auf Art. 111a Abs. 1 AsylG wurde auf einen Schriftenwechsel verzichtet. 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Asylbeachtlich ist eine objektiv begründetet subjektive Furcht vor Verfolgung. 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EMARK 2005 Nr. 21 E. 7 S. 193 f., EMARK 2004 Nr. 1 E. 6a S. 9). Dabei kommt es auf die Gezieltheit und Intensität jener Massnahmen an. 4.2 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Die Vorinstanz hielt die Vorbringen der Beschwerdeführer in der angefochtenen Verfügung wegen widersprüchlicher Angaben des volljährigen Beschwerdeführers zu den vorgebrachten Vorfällen am 27. August 2012 und weiterer Unstimmigkeiten für unglaubhaft. Die eingereichten Beweismittel seien zum Nachweis der vorgebrachten Vorfälle untauglich. Ausserdem seien die Vorbringen mangels Gezieltheit der geltend gemachten Verfolgungsmassnahmen auch nicht asylrelevant. Der Beschwerdeführer habe selber eingeräumt, der Bürgerkrieg und die allgemeine Lage in Syrien spreche gegen die Rückkehr dorthin, nicht eine gezielte Verfolgungsgefahr. Was ihre Stellung als Christen betrifft, wies die Vorinstanz darauf hin, dass es sich bei Syrien um einen laizistischen Staat handle, in welchem Christen - auch exponierte Vertreter - nicht generell verfolgt würden. Mit seiner politisch neutralen Haltung sei davon auszugehen, dass er weder mit der syrischen Regierung noch mit den Aufständischen Probleme haben würde. Ferner sei er erklärtermassen vom Militärdienst dispensiert.</w:t>
      </w:r>
    </w:p>
    <w:p>
      <w:r>
        <w:rPr>
          <w:b/>
        </w:rPr>
        <w:t>E. 6</w:t>
      </w:r>
    </w:p>
    <w:p>
      <w:r>
        <w:t>Nach Prüfung der Akten schliesst sich das Gericht der Auffassung der Vorinstanz an, dass die vorgebrachten Vorfälle vom 27. und 28. August 2012 mangels Gezieltheit der Verfolgung nicht asylrelevant seien. Das Vorbringen, beim Beschuss des Autos handle es sich um ein gezielt gegen die Person des Beschwerdeführers gerichtetes Attentat und nicht um eine ungezielte Kriegshandlung, wurde dagegen nachgeschoben und konnte nicht substanziiert und überzeugend dargetan werden. Entsprechende Berichterstattung im Internet ist kein genüglicher Nachweis, da nicht erkennbar ist, auf welche Quellen sich der Autor jenes Artikels bei der Aussage stützt, es habe sich um ein versuchtes Attentat auf den Beschwerdeführer gehandelt. Nach dem Gesagten kann die Glaubhaftigkeit der vorgebrachten Vorfälle vom 27. und 28. August 2012 offengelassen werden. Unter diesen Umständen sind die Rügen, die Vorinstanz habe in Verletzung des Untersuchungsgrundsatzes die Vorbringen mangelhaft gewürdigt und nicht alle angebotenen Beweismittel berücksichtigt, unbehelflich. Für eine Rückweisung der Sache an die Vorinstanz besteht demnach kein Anlass; der entsprechende Antrag ist abzuweisen. Auch der entsprechende Beweisantrag ist daher abzuweisen. Auch was die Lage der Christen in Syrien betrifft, schliesst sich das Gericht der Auffassung der Vorinstanz an. Die Rüge, sie habe sich mit dieser Frage nicht hinreichend auseinandergesetzt, erweist sich als unbegründet. Das humanitäre Engagement des volljährigen Beschwerdeführers als Theologe in Syrien, der Schweiz und auf der Welt ist als belegt zu erachten. Es ist davon auszugehen, dass er damit einen erheblichen Bekanntheitsgrad erlangt und sich als engagierter Christ exponiert hat. Aus seinem exponierten und profilierten, kirchlichen und humanitären Engagement ist indes kein politisches Profil ersichtlich, das geeignet wäre, als regimefeindlich oder regierungsnah zu erscheinen und von der einen oder anderen Seite gezielte Verfolgungsmassnahmen auf sich zu ziehen. Auch die von den Beschwerdeführern eingereichten Beweismittel enthalten keine Hinweise auf asylbeachtliche Verfolgung von exponierten Christen. Beim von den Beschwerdeführern angerufenen Urteil des Bundesverwaltungsgerichts E 776/2013 vom 8. April 2014 ging es um zum Christentum konvertierte vormalige Muslime sowie Ajnabi. Die Beschwerdeführer machen indes nicht geltend, zum Christentum konvertiert zu sein, und sie sind syrische Staatsbürger. Gegen eine objektive Verfolgungsgefahr spricht auch der Umstand, dass die Beschwerdeführer wiederholt bei Reisen nach Europa, Amerika, Afrika, Australien und Asien legal aus- und nach Syrien wieder eingereist sind. Zuletzt waren sie am 20. Juli 2012 aus G._______ nach Syrien zurückgekehrt. An der Kurzbefragung räumte der Beschwerdeführer noch selber ein, wegen des Bürgerkriegs und der allgemeinen Lage in Syrien geflohen zu sein, und machte keine gezielte Verfolgung geltend. Nach dem Gesagten hat die Vorinstanz das Vorliegen von Vorfluchtgründen zu Recht verneint und die Asylgesuche abgelehnt.</w:t>
      </w:r>
    </w:p>
    <w:p>
      <w:r>
        <w:rPr>
          <w:b/>
        </w:rPr>
        <w:t>E. 7</w:t>
      </w:r>
    </w:p>
    <w:p>
      <w:r>
        <w:t>Insofern als die Beschwerdeführer sich auf Beschwerdeebene auf das Engagement des volljährigen Beschwerdeführers seit seiner Ausreise aus Syrien berufen, machen sie subjektive Nachfluchtgründe im Sinne von Art. 54 AsylG geltend. Zur Begründung des Asylgesuchs können diese nicht herangezogen werden, vielmehr führen sie, wenn sie bestehen, zur Anerkennung der Flüchtlingseigenschaft ohne Asyl. Wie oben ausgeführt, ist zwar davon auszugehen, dass das belegte Engagement ihm einen erheblichen Bekanntheitsgrad eingetragen hat. Hingegen ist darin, wie oben bereits dargelegt, ebenso wenig wie in seinem vorherigen Engagement ein Profil erkennbar, das in Syrien mutmasslich zu asylbeachtlicher Verfolgung Anlass bieten würde. Da der Beschwerdeführer vom Militärdienst dispensiert worden ist, besteht auch nicht die Gefahr, dass er als Refraktär belangt würde. Das Bestehen der Flüchtlingseigenschaft aufgrund subjektiver Nachfluchtgründe ist nach dem Gesagten ebenfalls zu verneinen.</w:t>
      </w:r>
    </w:p>
    <w:p>
      <w:r>
        <w:rPr>
          <w:b/>
        </w:rPr>
        <w:t>E. 8</w:t>
      </w:r>
    </w:p>
    <w:p>
      <w:r>
        <w:t>Gemäss Art. 44 AsylG verfügt das Staatssekretariat in der Regel die Wegweisung aus der Schweiz, wenn es das Asylgesuch ablehnt oder darauf nicht eintritt. Die Beschwerdeführer verfügen weder über eine ausländerrechtliche Aufenthaltsbewilligung noch über einen Anspruch auf Erteilung einer solchen (vgl. BVGE 2009/50 E. 9). Die Wegweisung ist nicht zu beanstanden (Art. 44 AsylG; vgl. BVGE 2013/37 E 4.4; 2009/50 E. 9, je m.w.H).</w:t>
      </w:r>
    </w:p>
    <w:p>
      <w:r>
        <w:rPr>
          <w:b/>
        </w:rPr>
        <w:t>E. 9</w:t>
      </w:r>
    </w:p>
    <w:p>
      <w:r>
        <w:t>Aus diesen Erwägungen ergibt sich, dass die angefochtene Verfügung Bundesrecht nicht verletzt und auch sonst nicht zu beanstanden ist (Art. 106 Abs. 1 AsylG). Die Beschwerde ist abzuweisen.</w:t>
      </w:r>
    </w:p>
    <w:p>
      <w:r>
        <w:rPr>
          <w:b/>
        </w:rPr>
        <w:t>E. 10</w:t>
      </w:r>
    </w:p>
    <w:p>
      <w:r>
        <w:t>Bei einer summarischen Sichtung der Akten erweisen sich die gestellten Rechtsbegehren nicht als aussichtslos. Die Gesuche um unentgeltliche Rechtspflege im Sinne von Art. 65 VwVG sowie Art. 110a Abs. 1 Bst. a AsylG sind daher angesichts der ausgewiesenen prozessualen Bedürftigkeit gutzuheissen. Folglich sind keine Verfahrenskosten zu erheben und ist die rubrizierte Rechtsvertreterin als unentgeltlicher Rechtsbeistand einzusetzen. Das Honorar für eine berufsmässige Vertretung wird nach dem notwendigen Zeitaufwand berechnet (Art. 10 Abs. 1 des Reglements vom 21. Februar 2008 über die Kosten und Entschädigungen vor dem Bundesverwaltungsgericht [VGKE, SR 173.320.2]). Die Rechtsvertreterin beziffert die aufgelaufenen Aufwendungen im Zeitpunkt der Beschwerdeerhebung auf 15 Stunden zu einem Stundentarif von Fr. 180.- (exkl. MWSt) und einer Spesenpauschale von Fr. 54.-, mithin total Fr. 2'754.- (exkl. MWSt). Mit den Auslagen (einschliesslich des Mehrwertsteueranteils) sowie dem sehr bescheidenen Vertretungsaufwand seit Beschwerdeerhebung, der vom Gericht eingeschätzt werden kann, ist das amtliche Honorar auf Fr. 3'000.- festzusetzen. Der Rechtsbeistand ist in diesem Umfang zu entschädigen. Das Gesuch um Entbindung von der Vorschusspflicht ist mit dem vorliegenden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