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E-3352/2006 vom 11. März 2008</w:t>
      </w:r>
    </w:p>
    <w:p>
      <w:r>
        <w:t>Bundesverwaltungsgericht, 2008-03-11, FR</w:t>
      </w:r>
    </w:p>
    <w:p>
      <w:r>
        <w:rPr>
          <w:b/>
        </w:rPr>
        <w:t xml:space="preserve">Quelle: </w:t>
      </w:r>
      <w:r>
        <w:t>https://mcp.opencaselaw.ch/entscheid/bvger_E-3352_2006</w:t>
      </w:r>
    </w:p>
    <w:p>
      <w:r>
        <w:t>FR: TAF E-3352/2006 du 11 mars 2008</w:t>
      </w:r>
    </w:p>
    <w:p>
      <w:r>
        <w:t>IT: TAF E-3352/2006 del 11 marzo 2008</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La recourante a qualité pour recourir. Présenté dans la forme et les délais prescrits par la loi, le recours est recevable (48ss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Cst..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En l'espèce, se basant sur la naissance de son enfant, la recourante remet en cause tant la licéité que le caractère raisonnablement exigible de l'exécution du renvoi.</w:t>
      </w:r>
    </w:p>
    <w:p>
      <w:r>
        <w:rPr>
          <w:b/>
        </w:rPr>
        <w:t>E. 3.2</w:t>
      </w:r>
    </w:p>
    <w:p>
      <w:r>
        <w:t>Sur le premier point, force est de constater que l'intéressée étant appelée à regagner le Congo en même temps que son compagnon (cf. consid. 3.3 ci-dessous), le grief d'une violation de l'art. 8 CEDH tombe à faux.</w:t>
      </w:r>
    </w:p>
    <w:p>
      <w:r>
        <w:rPr>
          <w:b/>
        </w:rPr>
        <w:t>E. 3.3</w:t>
      </w:r>
    </w:p>
    <w:p>
      <w:r>
        <w:t>S'agissant du second point, il faut admettre qu'au vu du dossier, aucun élément dont on pourrait inférer que l'exécution du renvoi impliquerait une mise en danger concrète de X._______ et de son enfant ne peut être retenu. En effet, la recourante regagnera le Congo avec son concubin Z._______, dont l'exécution du renvoi avait été suspendue jusqu'à droit connu sur la présente cause. La nationalité congolaise de l'intéressé a été considérée comme manifeste par les autorités d'asile, si bien que rien ne s'oppose en soi qu'il accompagne son amie et sa fille, avec qui il forme une unité familiale ; il lui appartiendra d'accomplir les démarches nécessaires à l'obtention d'un document de voyage permettant son retour. De plus, les intéressés sont appelés à se réinstaller à Kinshasa, où la recourante a toujours vécu. Tous deux sont jeunes, en bonne santé et capables d'assurer leur survie. Quant à leur fille, elle est maintenant âgée de presque six ans et donc à l'abri des dangers d'ordre sanitaire menaçant les enfants en bas âge. Dans ce contexte, la question de l'existence d'un éventuel réseau socio-familial perd de sa pertinence, dans la mesure où la nécessité pour les intéressés d'un soutien par des proches après leur retour n'a plus de caractère aigu. Les conclusions divergentes que tirent l'ODM d'une part, la recourante d'autre part, du rapport de l'ambassade, n'ont plus une portée décisive ; en effet, ces divergences portaient presque exclusivement sur la disponibilité d'un soutien familial.</w:t>
      </w:r>
    </w:p>
    <w:p>
      <w:r>
        <w:rPr>
          <w:b/>
        </w:rPr>
        <w:t>E. 3.4</w:t>
      </w:r>
    </w:p>
    <w:p>
      <w:r>
        <w:t>Il s'ensuit que le recours doit être rejeté.</w:t>
      </w:r>
    </w:p>
    <w:p>
      <w:r>
        <w:rPr>
          <w:b/>
        </w:rPr>
        <w:t>E. 4</w:t>
      </w:r>
    </w:p>
    <w:p>
      <w:r>
        <w:t>Le Tribunal fait droit à la demande de la recourante et lui accorde le bénéfice de l'assistance judiciaire partielle, dans la mesure où les conclusions du recours, au moment de leur dépôt, n'étaient pas manifestement vouées à l'échec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