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E-3350/2015 vom 10. Juli 2015</w:t>
      </w:r>
    </w:p>
    <w:p>
      <w:r>
        <w:t>Bundesverwaltungsgericht, 2015-07-10, DE</w:t>
      </w:r>
    </w:p>
    <w:p>
      <w:r>
        <w:rPr>
          <w:b/>
        </w:rPr>
        <w:t xml:space="preserve">Quelle: </w:t>
      </w:r>
      <w:r>
        <w:t>https://mcp.opencaselaw.ch/entscheid/bvger_E-3350_2015</w:t>
      </w:r>
    </w:p>
    <w:p>
      <w:r>
        <w:t>FR: TAF E-3350/2015 du 10 juillet 2015</w:t>
      </w:r>
    </w:p>
    <w:p>
      <w:r>
        <w:t>IT: TAF E-3350/2015 del 10 luglio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hierzu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 der Beschwerde werden verschiedene formelle Rügen erhoben, welche vorab zu beurteilen sind.</w:t>
      </w:r>
    </w:p>
    <w:p>
      <w:r>
        <w:rPr>
          <w:b/>
        </w:rPr>
        <w:t>E. 4.1</w:t>
      </w:r>
    </w:p>
    <w:p>
      <w:r>
        <w:t>Entgegen der Auffassung des Beschwerdeführers hat die Vorinstanz, indem sie die Aktenstücke A3/13, A 5/2, A8/1, A10/1, und A14/11 nicht offenlegte das Akteneinsichtsrecht nicht verletzt, da es sich hierbei um interne, nicht entscheiderhebliche Dokumente beziehungsweise um Akten anderer Behörden handelt.</w:t>
      </w:r>
    </w:p>
    <w:p>
      <w:r>
        <w:rPr>
          <w:b/>
        </w:rPr>
        <w:t>E. 4.2</w:t>
      </w:r>
    </w:p>
    <w:p>
      <w:r>
        <w:t>Ebenso wurde der Antrag auf vorläufige Aufnahme des Beschwerdeführers (act. A17/2) vom BFM zu Recht als interne Akte qualifiziert und ihm nicht zur Einsicht zugestellt. Gemäss konstanter Rechtsprechung besteht kein Anspruch auf Einsicht in verwaltungsinterne Akten, welche einzig der verwaltungsinternen Meinungsbildung dienen. Mit dem Ausschluss des Einsichtsrechts in diese Akten soll verhindert werden, dass die interne Meinungsbildung der Verwaltung über die entscheidenden Aktenstücke und die erlassenen Verfügungen hinaus vollständig vor der Öffentlichkeit ausgebreitet wird (BGE 125 II 473 E. 4.a, mit Verweisen).</w:t>
      </w:r>
    </w:p>
    <w:p>
      <w:r>
        <w:rPr>
          <w:b/>
        </w:rPr>
        <w:t>E. 4.3</w:t>
      </w:r>
    </w:p>
    <w:p>
      <w:r>
        <w:t>Gemäss ständiger, publizierter Rechtsprechung sind die drei Bedingungen für einen Verzicht auf den Vollzug der Wegweisung (Unzulässigkeit, Unzumutbarkeit oder Unmöglichkeit; Art. 83 Abs. 1-4 des Bundesgesetzes vom 16. Dezember 2005 über die Ausländerinnen und Ausländer [AuG, SR 142.20]) alternativer Natur. Sobald eine davon erfüllt ist, ist der Vollzug als undurchführbar zu betrachten und die weitere Anwesenheit der betroffenen Person in der Schweiz gemäss den Bestimmungen über die vorläufige Aufnahme zu regeln. In einem allfälligen Verfahren betreffend Aufhebung der vorläufigen Aufnahme wäre dann der Vollzug der Wegweisung vor dem Hintergrund sämtlicher Vollzugshindernisse von Amtes wegen nach Massgabe der in diesem Zeitpunkt herrschenden Verhältnisse zu prüfen (vgl. BVGE 2009/51 E. 5.4 S. 748). Aus dem Gesagten ergibt sich, dass bei Feststellung der Unzumutbarkeit des Wegweisungsvollzugs aufgrund der allgemeinen Lage in einem Staat genauso wenig zu prüfen ist, ob der Vollzug auch unzulässig oder unmöglich wäre, wie die Frage, ob er auch aufgrund in der Person des Asylsuchenden liegenden Gründen als unzumutbar zu erachten gewesen wäre. Das BFM hat somit entgegen der in der Beschwerde vertretenen Auffassung die Begründungspflicht offensichtlich nicht verletzt.</w:t>
      </w:r>
    </w:p>
    <w:p>
      <w:r>
        <w:rPr>
          <w:b/>
        </w:rPr>
        <w:t>E. 4.4</w:t>
      </w:r>
    </w:p>
    <w:p>
      <w:r>
        <w:t>Auch die Rüge der Verletzung der Aktenführungs- und Paginierungspflicht ist unbegründet. Bei den Aktenstücken A8/1 und A10/1 handelt es sich um unwesentliche Akten und ihre optimierbare Bezeichnung im Aktenverzeichnis stellt vorliegend keine Verletzung der Aktenführungspflicht dar. Im Protokoll der Kurzbefragung wurde ausdrücklich vermerkt, dass der Reisepass des Beschwerdeführers zu den Akten genommen wurde (vgl. A4, S. 7). Damit ist der Aktenführungspflicht Genüge getan und es ist nicht zu beanstanden, dass keine Beweismittelumschlag erstellt wurde.</w:t>
      </w:r>
    </w:p>
    <w:p>
      <w:r>
        <w:rPr>
          <w:b/>
        </w:rPr>
        <w:t>E. 4.5.1</w:t>
      </w:r>
    </w:p>
    <w:p>
      <w:r>
        <w:t>Der Beschwerdeführer rügt im Weiteren eine Verletzung des rechtlichen Gehörs, weil das SEM in der angefochtenen Verfügung mehrere Elemente seiner Asylvorbringen nicht erwähnt habe (Festhaltung und Behelligungen durch die Ansar al-Sharia und libysche Revolutionäre, Freilassung nur dank guter Beziehungen des Vaters, drohende Entführung in die Türkei beziehungsweise nach Syrien, Probleme des Vaters in Syrien, Asylgesuchstellung mehrerer Familienangehöriger in der Schweiz).</w:t>
      </w:r>
    </w:p>
    <w:p>
      <w:r>
        <w:rPr>
          <w:b/>
        </w:rPr>
        <w:t>E. 4.5.2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BGE 129 I 232 E. 3.2). Die erforderliche Begründungsdichte richtet sich im Einzelfall nach dem Verfügungsgegenstand, den Verfahrensumständen und den Interessen des Betroffenen. Die verfügende Behörde muss sich nicht ausdrücklich mit jeder tatbeständlichen Behauptung und jedem rechtlichen Einwand auseinandersetzen, sondern kann sich auf die wesentlichen Gesichtspunkte beschränken. Sie hat aber wenigstens kurz die Überlegungen anzuführen, von denen sie sich leiten liess und auf die sich ihr Entscheid stützt (vgl. zum Ganzen BVGE 2008/47 E. 3.2 S. 674 f.).</w:t>
      </w:r>
    </w:p>
    <w:p>
      <w:r>
        <w:rPr>
          <w:b/>
        </w:rPr>
        <w:t>E. 4.5.3</w:t>
      </w:r>
    </w:p>
    <w:p>
      <w:r>
        <w:t>Das SEM ist diesen Anforderungen im vorliegenden Fall gerecht geworden. Dass die Vorinstanz die vom Beschwerdeführer geltend gemachten Behelligungen in Libyen nur summarisch würdigte, ohne auf Ein­zelheiten einzugehen, ist nicht zu beanstanden, da diesen - wie nachfolgend darzulegen sein wird (vgl. E. 6.1) - von vornherein keine asylrechtliche Bedeutung zukommt. Die Furcht des Beschwerdeführers vor einer Deportation nach Syrien sowie die Probleme seines Vaters, welche diesen zur Ausreise aus Syrien im Jahre 1992 bewogen haben sollen, wurden vom SEM bei der Erstellung des Sachverhalts erwähnt, sodass nicht davon auszugehen ist, diese Vorbringen seien ausser Acht gelassen worden. Aufgrund der nicht ausdrücklichen Erwähnung in den Erwägungen kann geschlossen werden, dass das SEM diese Umstände implizit als nicht asylrelevant einstufte. Im Weiteren machte der Beschwerdeführer im erstinstanzlichen Verfahren in keiner Weise eine begründete Furcht wegen des Profils seiner übrigen Familienangehörigen geltend, weshalb im Umstand, dass die Vorinstanz den Umstand der Asylgesuchseinreichung dieser Familienmitglieder in der Schweiz nicht erwähnte, keine Verletzung der Begründungspflicht zu erblicken ist.</w:t>
      </w:r>
    </w:p>
    <w:p>
      <w:r>
        <w:rPr>
          <w:b/>
        </w:rPr>
        <w:t>E. 4.6</w:t>
      </w:r>
    </w:p>
    <w:p>
      <w:r>
        <w:t>Auch soweit der Beschwerdeführer eine unvollständige und unrichtige Abklärung des rechtserheblichen Sachverhalts kritisiert, kann ihm nicht gefolgt werden. Das SEM hat den Sachverhalt zu Recht als hinreichend erstellt erachtet, und es ist nicht ersichtlich, inwiefern weitere Abklärungen hinsichtlich der vom Beschwerdeführer geltend gemachten Furcht vor Entführung durch die Rebellen sowie vor Zwangsrekrutierung durch die syrischen Bürgerkriegsparteien notwendig sein sollten. Nachdem sich aus den Verfahrensakten, insbesondere den Vorbringen des Beschwerdeführers, keine konkreten Anhaltspunkte für eine begründete Furcht vor Reflexverfolgung ergeben, durfte die Vorinstanz auch auf den förmlichen Beizug der Akten der Asylverfahren seiner Familienangehörigen verzichten. Schliesslich ist nicht nachvollziehbar und wird vom Beschwerdeführer nicht weiter erläutert, inwiefern allein im zeitlichen Abstand von rund einem Jahr zwischen dem Zeitpunkt der Einreichung des Asylgesuchs des Beschwerdeführers und seiner Anhörung zu den Asylgründen eine Verletzung der Abklärungspflicht zu erblicken sein soll.</w:t>
      </w:r>
    </w:p>
    <w:p>
      <w:r>
        <w:rPr>
          <w:b/>
        </w:rPr>
        <w:t>E. 4.7</w:t>
      </w:r>
    </w:p>
    <w:p>
      <w:r>
        <w:t>Nach dem Gesagten sind die Anträge des Beschwerdeführers, die an­gefochtene Verfügung sei wegen Verletzung des rechtlichen Gehörs und unrichtiger beziehungsweise unvollständiger Sachverhaltsabklärung zu kassieren und zur Neubeurteilung an die Vorinstanz zurückzuweisen,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hat zur Recht und mit zutreffender Begründung die Asylrelevanz der Asylvorbringen des Beschwerdeführers verneint. Eine Verfolgungssituation kann praxisgemäss allein in Bezug auf den Heimatstaat, vorliegend Syrien, bestehen. Die vom Beschwerdeführer vorgebrachten Behelligungen durch die Ansar al-Sharia und andere Rebellengruppen in Libyen sind daher für die Beurteilung des vorliegenden Asylgesuchs von vornherein nicht relevant. Ferner ist in Übereinstimmung mit der Vor­instanz eine begründete Furcht des Beschwerdeführers vor Verfolgung in Syrien zu verneinen: Bei seinem Vorbringen auf Beschwerdeebene, er habe einen Marschbefehl der syrischen Behörden erhalten, handelt es sich um eine durch nichts belegte und nicht weiter substanziierte Behauptung. Zudem ist darauf hinzuweisen, dass das Bundesverwaltungsgericht in seinem zur Publikation vorgesehenen Leitentscheid D-5553/2013 vom 18. Februar 2015 als Ergebnis einer Auslegung von Art. 3 Abs. 3 AsylG zum Schluss gelangte, eine Wehr­dienstverweigerung oder Desertion vermöge nicht alleinig die Flüchtlings-eigenschaft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Das Gericht erwog, diese Voraussetzungen seien im Falle eines syrischen Refraktärs, welcher der kurdischen Ethnie angehört, einer oppositionell aktiven Familie entstammt und bereits in der Vergangenheit die Aufmerksamkeit der staatlichen syrischen Sicherheitskräfte auf sich gezogen habe, erfüllt (vgl. E. 6.7.3). Der Beschwerdeführer weist offenkundig kein derartiges Profil auf. Es ist nicht von einem spezifischen, gezielten Verfolgungsinteresse der syrischen Sicherheitskräfte an ihm auszugehen, zumal er Syrien vor 22 Jahren als Siebenjähriger verliess. Dass seine Familie sich wegen der damaligen Beteiligung seines Vaters an kurdischen kulturellen Aktivitäten nach wie vor im Fokus der syrischen Behörden befinden soll, erscheint als unrealistisch und es fehlen für eine solche Annahme konkrete Hinweise. Demnach ist nicht davon auszugehen, der Beschwerdeführer habe wegen seines familiären Hintergrundes eine Reflexverfolgung zu befürchten. Ausserdem ist auch die allgemeine Lage der Kurden in Syrien für sich allein nicht als asylbeachtliche Verfolgung zu qualifizieren. Das Bestehen einer Kollektivverfolgung aller syrischen Kurden wird vom Beschwerdeführer zwar behauptet, aber nicht weiter begründet. Auch den allgemein zugänglichen Länderberichten lässt sich nicht entnehmen, dass sämtliche in Syrien verbliebene Kurden eine objektiv begründete Furcht vor Verfolgung durch die Islamisten hätten. Schliesslich lassen sich den Akten auch keine konkreten Anhaltspunkte für das Vorliegen subjektiver Nachfluchtgründe entnehmen, welche die Zuerkennung der Flüchtlingseigenschaft rechtfertigen würden.</w:t>
      </w:r>
    </w:p>
    <w:p>
      <w:r>
        <w:rPr>
          <w:b/>
        </w:rPr>
        <w:t>E. 6.2</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23. April 2015 die vorläufige Aufnahme des Beschwerdeführers in der Schweiz anordnete, erübrigen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wird zur Bezahlung der Verfahrenskosten verwendet, die damit beglichen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