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E-3340/2014 vom 26. Mai 2015</w:t>
      </w:r>
    </w:p>
    <w:p>
      <w:r>
        <w:t>Bundesverwaltungsgericht, 2015-05-26, DE</w:t>
      </w:r>
    </w:p>
    <w:p>
      <w:r>
        <w:rPr>
          <w:b/>
        </w:rPr>
        <w:t xml:space="preserve">Quelle: </w:t>
      </w:r>
      <w:r>
        <w:t>https://mcp.opencaselaw.ch/entscheid/bvger_E-3340_2014</w:t>
      </w:r>
    </w:p>
    <w:p>
      <w:r>
        <w:t>FR: TAF E-3340/2014 du 26 mai 2015</w:t>
      </w:r>
    </w:p>
    <w:p>
      <w:r>
        <w:t>IT: TAF E-3340/2014 del 26 maggio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w:t>
      </w:r>
    </w:p>
    <w:p>
      <w:r>
        <w:rPr>
          <w:b/>
        </w:rPr>
        <w:t>E. 1.2</w:t>
      </w:r>
    </w:p>
    <w:p>
      <w:r>
        <w:t>Parteieingaben in Verfahren vor Bundesbehörden sind in einer Amtssprache - in der Regel Deutsch, Französisch oder Italienisch - abzufassen (Art. 70 Abs. 1 BV und Art. 33a Abs. 1 VwVG). Die Eingabe des Beschwerdeführers ist auf Englisch abgefasst. Auf die Ansetzung einer Frist zur Beschwerdeverbesserung ist zu verzichten, da der in Englisch verfassten Beschwerdeeingabe genügend klare (sinngemässe) Rechtsbegehren und eine verständliche Begründung zu entnehmen sind und somit ohne weiteres darüber befunden werden kann.</w:t>
      </w:r>
    </w:p>
    <w:p>
      <w:r>
        <w:rPr>
          <w:b/>
        </w:rPr>
        <w:t>E. 1.3</w:t>
      </w:r>
    </w:p>
    <w:p>
      <w:r>
        <w:t>Auf die im Weiteren fristgerecht eingereichte Beschwerde ist somit einzutreten. Gestützt auf Art. 33a Abs. 2 VwVG i.V.m. Art. 6 AsylG ergeht der vorliegende Entscheid in deutscher Sprache.</w:t>
      </w:r>
    </w:p>
    <w:p>
      <w:r>
        <w:rPr>
          <w:b/>
        </w:rPr>
        <w:t>E. 1.4</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1.5</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2</w:t>
      </w:r>
    </w:p>
    <w:p>
      <w:r>
        <w:t>Die Möglichkeit, im Ausland ein Asylgesuch bei einer Schweizer Vertretung zu stellen, ist mit Wirkung ab 29. September 2012 aufgehoben worden, wobei für Asylgesuche, die - wie vorliegend - vor dem Inkrafttreten gestellt worden sind, die Art. 12, 19, 20, 41 Abs. 2, Art. 52 und 68 in der bis am 28. September 2012 gültigen Fassung des Asylgesetzes (aAsylG) gelten (Übergangsbestimmung zur Änderung vom 28. September 2012; AS 2012 5359).</w:t>
      </w:r>
    </w:p>
    <w:p>
      <w:r>
        <w:rPr>
          <w:b/>
        </w:rPr>
        <w:t>E. 3.1</w:t>
      </w:r>
    </w:p>
    <w:p>
      <w:r>
        <w:t>Ein Asylgesuch kann gemäss Art. 19 Abs. 1 aAsylG im Ausland bei einer schweizerischen Vertretung gestellt werden, die es mit einem Bericht an das Bundesamt überweist (Art. 20 Abs. 1 aAsylG). Praxisgemäss kann das Asylgesuch aus dem Ausland anstatt bei einer schweizerischen Vertretung vor Ort auch direkt bei der Vorinstanz gestellt werden. Vorliegend wurde auf eine Befragung durch die Botschaft mangels entsprechender Kapazitäten der schweizerischen Botschaft in Khartum verzichtet und dem Beschwerdeführer - zwecks Wahrung des rechtlichen Gehörs - ein schriftlicher Fragekatalog zugestellt. Vor dem Hintergrund der massgeblichen Praxis zur Behandlung von Asylgesuchen aus dem Ausland und Einreisebewilligung sowie unter Berücksichtigung der Aktenlage ist festzustellen, dass im vorliegenden Verfahren auf eine Befragung verzichtet werden durfte und dass mit der Einladung zur Stellungnahme den massgeblichen verfahrensrechtlichen Anforderungen Genüge getan wurde (vgl. dazu BVGE 2007/30, insbes. E. 5.6 f).</w:t>
      </w:r>
    </w:p>
    <w:p>
      <w:r>
        <w:rPr>
          <w:b/>
        </w:rPr>
        <w:t>E. 3.2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3.3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4.1</w:t>
      </w:r>
    </w:p>
    <w:p>
      <w:r>
        <w:t>Die Vorinstanz stellte in der angefochtenen Verfügung im Wesentlichen fest, dass gestützt auf die Aktenlage die Gefährdungssituation abschliessend habe beurteilt werden können. Sie verneinte eine Verfolgung oder akute Gefährdung des Beschwerdeführers im Sudan. Was der Beschwerdeführer, der sich als im Sudan schutzloser politischer Flüchtling bezeichnet, dagegen vorbringt, ist nicht geeignet, die vor-instanzlichen Erwägungen umzustossen. Im Wesentlichen bestehen seine Ausführungen bloss aus einer Wiederholung und Ausschmückung der bereits im vorinstanzlichen Verfahren geltend gemachten Vorbringen, ohne sich substanziell mit der Argumentation in der angefochtenen Verfügung auseinanderzusetzen. Soweit er im Sudan als arbeitstätige Person Massnahmen seitens sudanesischer Sicherheitskräfte befürchtet - wie Inhaftierung, Verwarnung, Ausschaffung, Beschattung -, ist ihm entgegenzuhalten, dass es ihm zuzumuten wäre, sich beim UNHCR für eine ordentliche Registrierung als Flüchtling zu melden. Als registrierter Flüchtling verfügt er zwar nicht über das gewünschte uneingeschränkte Aufenthaltsrecht für den gesamten Sudan. Aber die Gefahr einer zwangsweisen Ausschaffung nach Äthiopien wäre durch den erreichten Status gebannt. Es ist ihm daher nahe zu legen, sich in das vom UNHCR zugewiesene Flüchtlingslager zu begeben. Sollte er im Lager in eine kritische Situation geraten, so kann er beim UNHCR um den notwendigen Schutz nachsuchen. Anzufügen ist in diesem Kontext, dass ihm mit einer Registrierung als Flüchtling und unter Einhaltung der damit verbundenen Verhaltensregeln die auf Beschwerdestufe vorgetragene Furcht vor Razzien, und gemeinsamen Aktionen von äthiopischen und sudanesischen Sicherheitskräften gegen äthiopische Staatsangehörige unbegründet ist (vgl. Beschwerde S. 3 ff.). Hinsichtlich der geltend gemachten widrigen Lebensumstände im Sudan hat die Vorinstanz zu Recht anerkannt, dass die Situation von Asylsuchenden dort nicht einfach ist, was aber nicht gegen die Zumutbarkeit eines weiteren Verbleibs im Sudan spricht. Eine schwierige Lebenssituation und entsprechende humanitäre Überlegungen stellen keinen Grund für eine Bewilligung der Einreise dar. Der Beschwerdeführer vermag damit nicht nachvollziehbar aufzuzeigen, inwiefern nach einer ordentlichen Registrierung als Flüchtling seine Furcht vor einer Rückschaffung nach Äthiopien noch konkret begründet wäre. Schliesslich ist festzustellen, dass keine nahen Verwandten oder Bezugspersonen des Beschwerdeführers in der Schweiz leben und den Akten sind auch sonst keine Hinweise auf andere Anknüpfungspunkte zur Schweiz zu entnehmen. Folglich ist ihm der weitere Aufenthalt im Sudan zumutbar. Daher ist mit der Vorinstanz einig zu gehen, dass der Beschwerdeführer den subsidiären Schutz der Schweiz nicht benötigt. Die Vorinstanz hat ihm zu Recht die Einreise in die Schweiz verweigert und das Asylgesuch abgelehnt.</w:t>
      </w:r>
    </w:p>
    <w:p>
      <w:r>
        <w:rPr>
          <w:b/>
        </w:rPr>
        <w:t>E. 5</w:t>
      </w:r>
    </w:p>
    <w:p>
      <w:r>
        <w:t>Aus diesen Erwägungen ergibt sich, dass die angefochtene Verfügung Bundesrecht nicht verletzt und auch sonst nicht zu beanstanden ist (Art. 106 Abs. 1 AsylG). Die Beschwerde ist abzuweisen.</w:t>
      </w:r>
    </w:p>
    <w:p>
      <w:r>
        <w:rPr>
          <w:b/>
        </w:rPr>
        <w:t>E. 6</w:t>
      </w:r>
    </w:p>
    <w:p>
      <w:r>
        <w:t>Bei diesem Ausgang des Verfahrens wären die Kosten von Fr. 600.-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