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E-3339/2013 vom 17. Januar 2014</w:t>
      </w:r>
    </w:p>
    <w:p>
      <w:r>
        <w:t>Bundesverwaltungsgericht, 2014-01-17, DE</w:t>
      </w:r>
    </w:p>
    <w:p>
      <w:r>
        <w:rPr>
          <w:b/>
        </w:rPr>
        <w:t xml:space="preserve">Quelle: </w:t>
      </w:r>
      <w:r>
        <w:t>https://mcp.opencaselaw.ch/entscheid/bvger_E-3339_2013</w:t>
      </w:r>
    </w:p>
    <w:p>
      <w:r>
        <w:t>FR: TAF E-3339/2013 du 17 janvier 2014</w:t>
      </w:r>
    </w:p>
    <w:p>
      <w:r>
        <w:t>IT: TAF E-3339/2013 del 17 gennaio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Soweit die Beschwerdeführerin in ihrer Eingabe vom 1. Oktober 2012 festhält, sie wolle ihre Schwester sowie eine Cousine und einen Cousin in ihrem Asylgesuch einschliessen, ist festzuhalten, dass sich das vorliegende Asylgesuch einzig auf die Person der Beschwerdeführerin bezieht. Gemäss Rechtsprechung stellt die Stellung eines Asylgesuches (aus dem Ausland) ein relativ höchstpersönliches Recht dar, das grundsätzlich einen persönlichen Antrag der gesuchstellenden Person voraussetzt. Fehlt ein solcher, stellt ein vertretungsweise eingereichtes Asylgesuch einen Mangel dar, der nur behoben werden kann, indem dessen Inhalt anlässlich einer mündlichen Anhörung oder durch Einreichung einer persönlich verfassten oder - im Falle des berechtigten Verzichts auf eine Befragung - zumindest unterzeichneten Stellungnahme zum Fragenkatalog des BFM bestätigt wird (vgl. BVGE 2011/39 E. 4.3). Falls weitere Angehörige - wie die Schwester oder die Cousine und der Cousin der Beschwerdeführerin - um Asyl hätten ersuchen wollen, wären diese gehalten gewesen, eigene Asylgesuche einzureichen, wobei in diesem Zusammenhang auf Erwägung 3 verwiesen wird.</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4.2</w:t>
      </w:r>
    </w:p>
    <w:p>
      <w:r>
        <w:t>Gemäss Art. 3 Abs. 1 AsylG wird eine ausländische Person als Flüchtling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w:t>
      </w:r>
    </w:p>
    <w:p>
      <w:r>
        <w:rPr>
          <w:b/>
        </w:rPr>
        <w:t>E. 5.1</w:t>
      </w:r>
    </w:p>
    <w:p>
      <w:r>
        <w:t>Die Beschwerdeführerin macht eine flüchtlingsrelevante Gefährdung im Sinne von Art. 3 AsylG i.V.m. Art. 20 AsylG geltend, indem sie vorbringt, sie sei während der Leistung ihrer Militärdienstpflicht in Eritrea vom "National Service" desertiert.</w:t>
      </w:r>
    </w:p>
    <w:p>
      <w:r>
        <w:rPr>
          <w:b/>
        </w:rPr>
        <w:t>E. 5.2</w:t>
      </w:r>
    </w:p>
    <w:p>
      <w:r>
        <w:t>Das BFM hält in der angefochtenen Verfügung, ohne auf dieses Vorbringen näher einzugehen, fest, die Ausführungen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in den Sudan aus, bejaht bei der anschliessenden Prüfung des Asylausschlussgrundes von Art. 52 Abs. 2 AsylG jedoch die Zumutbarkeit ihres Verbleibs im Sudan.</w:t>
      </w:r>
    </w:p>
    <w:p>
      <w:r>
        <w:rPr>
          <w:b/>
        </w:rPr>
        <w:t>E. 5.3.1</w:t>
      </w:r>
    </w:p>
    <w:p>
      <w:r>
        <w:t>Die von der Beschwerdeführerin geltend gemachten Asylgründe, sich ohne Erlaubnis oder Dispens der militärische Ausbildung respektive der Leistung ihrer Militärdienstpflicht entzogen zu haben, erscheinen glaubhaft. Das Bundesverwaltungsgericht hat keinen Anlass, die entsprechenden Vorbringen der Beschwerdeführerin in Zweifel zu ziehen. Es ist daher davon auszugehen, dass die eritreischen Behörden das Verhalten der Beschwerdeführerin als Dienstverweigerung erachten und ihr deshalb eine - aus politisch motivierten Gründen - unverhältnismässig hohe Strafe drohen könnte (vgl. EMARK 2006 Nr. 3). Bei einer Rückkehr nach Eritrea drohen ihr Nachteile im Sinne von Art. 3 Abs. 1 AsylG. Im Zeitpunkt ihrer Ausreise aus Eritrea ist daher eine begründete Furcht der Beschwerdeführerin vor flüchtlingsrelevanter Verfolgung zu bejahen. Vorausgesetzt, ihr weiterer Verbleib im Sudan ist als unzumutbar im Sinne von Art. 52 Abs. 2 AsylG zu erachten, wäre ihr daher die Einreise in die Schweiz zwecks Durchführung des Asylverfahrens zu bewilligen. Auf die Prüfung der Zumutbarkeit des weiteren Verbleibs im Sudan ist in den nachfolgenden Erwägungen zurückzukommen.</w:t>
      </w:r>
    </w:p>
    <w:p>
      <w:r>
        <w:rPr>
          <w:b/>
        </w:rPr>
        <w:t>E. 5.3.2</w:t>
      </w:r>
    </w:p>
    <w:p>
      <w:r>
        <w:t>Betreffend der illegal erfolgten Ausreise der Beschwerdeführerin aus Eritrea ist Folgendes festzuhalten: Eine solche, sogenannte Republikflucht kann von Vornherein nicht zur Gewährung von Asyl, sondern gestützt auf Art. 54 AsylG einzig zur Feststellung der Flüchtlingseigenschaft führen (vgl. BVGE 2009/29 E. 5.1 S. 376 f.). Für sich allein wäre dies ein Tatbestand, der gemäss der Praxis des Bundesverwaltungsgerichts nicht zur Einreise in die Schweiz berechtigten kann, da es nicht der gesetzlichen Logik entspricht, Personen, die sich im Ausland befinden, die Einreise in die Schweiz zu gewähren, um sie anschliessend - trotz allfälliger Anerkennung als Flüchtlinge - aus der Schweiz wegzuweisen (vgl. BVGE 2012/26 E. 7; BVGE 2011/10 E. 7 S. 133 für den Fall der Asylunwürdigkeit im Sinne von Art. 53 AsylG).</w:t>
      </w:r>
    </w:p>
    <w:p>
      <w:r>
        <w:rPr>
          <w:b/>
        </w:rPr>
        <w:t>E. 5.3.3</w:t>
      </w:r>
    </w:p>
    <w:p>
      <w:r>
        <w:t>Wie bereits festgehalten, ist vorliegend aber davon auszugehen, dass die Beschwerdeführerin im Zeitpunkt ihrer Ausreise aus Eritrea eine begründete Furcht hatte, ernsthaften Nachteilen im Sinne des Asylgesetzes ausgesetzt zu werden, und dass sie zu diesem Zeitpunkt daher die Flüchtlingseigenschaft erfüllt hat. Es ist deshalb in einem nächsten Schritt zu prüfen, ob ihr der weitere Verbleib im Drittstaat Sudan zuzumuten ist.</w:t>
      </w:r>
    </w:p>
    <w:p>
      <w:r>
        <w:rPr>
          <w:b/>
        </w:rPr>
        <w:t>E. 5.4</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5.5</w:t>
      </w:r>
    </w:p>
    <w:p>
      <w:r>
        <w:t>Das Bundesverwaltungsgericht erachtet den Sachverhaltsvortrag der Beschwerdeführerin als glaubhaft gemacht. Das Gericht hat keine konkrete Veranlassung, daran zu zweifeln, dass die Beschwerdeführerin aus den von ihr geltend gemachten Gründen ihren Heimatstaat Eritrea verlassen hat und in den Sudan gereist ist, wo sie als Flüchtling registriert und dem Shagarab Flüchtlingscamp zugewiesen worden ist. Weiter geht das Gericht davon aus, dass die Beschwerdeführerin nach einem dreimonatigen Aufenthalt dieses Lager im November 2009 verlassen hat und Arbeit in einem sudanesischen Haushalt angenommen hat, wo sie sexuellen Übergriffen ihres Arbeitgebers ausgesetzt war. Aufgrund der Akten ist davon auszugehen, dass keine nahen Familienangehörigen oder weitere Verwandte der Beschwerdeführerin im Sudan leben, und sie sich dort als alleinstehende Frau aufhält; ausserdem gehört die Beschwerdeführerin der religiösen Minderheit der Christen an. Ihren Angaben gemäss lebt sie zur Zeit unter prekären Bedingungen in Khartum in einer grossen Halle, wo sie ihren Lebensunterhalt mit Gelegenheitsarbeiten und als Teeverkäuferin auf der Strasse bestreitet.</w:t>
      </w:r>
    </w:p>
    <w:p>
      <w:r>
        <w:rPr>
          <w:b/>
        </w:rPr>
        <w:t>E. 5.6</w:t>
      </w:r>
    </w:p>
    <w:p>
      <w:r>
        <w:t>Den Akten ist nicht zu entnehmen, dass die Beschwerdeführerin mit dem Sudan eine besondere kulturelle oder sprachliche Nähe verbindet. Der einzige Bezugspunkt zu diesem Staat bildet demnach ihr kurzfristiger Aufenthalt in einem Flüchtlingslager sowie ihr anschliessender Aufenthalt in Khartum, einer Stadt, in der sie isoliert und illegal lebt. Eine sprachliche oder kulturelle Nähe existiert zwar auch zur Schweiz nicht, doch leben hier zwei (...) Verwandte, (...). Auch wenn die Beschwerdeführerin weder behauptet noch näher belegt, dass ihre Beziehung zu diesen nicht zur Kernfamilie gehörenden Angehörigen ausgesprochen eng ist, verfügt sie doch durch diese beiden Verwandten über einen gewichtigen Bezugspunkt zur Schweiz. Dies gilt umso mehr, als gemäss Aktenlage keinerlei Beziehungen zu einem anderen Staat vorzuliegen scheinen. Die Eingliederungsmöglichkeiten in der Schweiz sind zudem nicht geringer als in einem sudanesischen Flüchtlingslager. Angesichts der vorliegenden Akten und insbesondere der konkreten individuellen Lebensumstände erachtet das Bundesverwaltungsgericht den weiteren Verbleib der Beschwerdeführerin im Sudan entgegen der Auffassung der Vorinstanz als unzumutbar im Sinne von Art. 20 Abs. 2 AsylG.</w:t>
      </w:r>
    </w:p>
    <w:p>
      <w:r>
        <w:rPr>
          <w:b/>
        </w:rPr>
        <w:t>E. 5.7</w:t>
      </w:r>
    </w:p>
    <w:p>
      <w:r>
        <w:t>Die Beschwerdeführerin erfüllt somit die Voraussetzungen für die Bewilligung der Einreise nach Art. 20 Abs. 2 und 3 AsylG. Aufgrund dieser Sachlage erübrigt sich die Prüfung der Frage, ob vorliegend die Anforderung an Art. 51 Abs. 1 und 4 AsylG erfüllt wären.</w:t>
      </w:r>
    </w:p>
    <w:p>
      <w:r>
        <w:rPr>
          <w:b/>
        </w:rPr>
        <w:t>E. 6</w:t>
      </w:r>
    </w:p>
    <w:p>
      <w:r>
        <w:t>Aufgrund vorstehender Erwägungen ist die Beschwerde gutzuheissen und die Verfügung des BFM vom 15. März 2013 aufzuheben. Das BFM ist anzuweisen, der Beschwerdeführerin die Einreise in die Schweiz zu bewilligen, ihr die erforderlichen Einreisepapiere auszustellen und nach ihrer Einreise das Asylverfahren durchzuführen.</w:t>
      </w:r>
    </w:p>
    <w:p>
      <w:r>
        <w:rPr>
          <w:b/>
        </w:rPr>
        <w:t>E. 7.1</w:t>
      </w:r>
    </w:p>
    <w:p>
      <w:r>
        <w:t>Bei diesem Ausgang des Verfahrens sind keine Kosten zu erheben (Art. 63 Abs. 1 und 2 VwVG).</w:t>
      </w:r>
    </w:p>
    <w:p>
      <w:r>
        <w:rPr>
          <w:b/>
        </w:rPr>
        <w:t>E. 7.2</w:t>
      </w:r>
    </w:p>
    <w:p>
      <w:r>
        <w:t>Der Beschwerdeführerin wäre als obsiegende Partei zu Lasten der Vorinstanz grundsätzlich eine Entschädigung für die ihr erwachsenen notwendigen und verhältnismässig hohen Kosten zusprechen (Art. 64 Abs. 1 VwVG i.V.m. Art. 7 Abs. 1 und 2 des Reglements vom 21. Februar 2008 über die Kosten und Entschädigungen vor dem Bundesverwaltungsgericht [VGKE, SR 173.320.2]). Nachdem die Beschwerdeführerin jedoch im vorliegenden Verfahren nicht vertreten wird, ist nicht davon auszugehen, dass ihr verhältnismässig hohe Kosten erwachsen sind, weshalb von der Ausrichtung einer Parteientschädigung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