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E-3337/2014 vom 2. Juni 2015</w:t>
      </w:r>
    </w:p>
    <w:p>
      <w:r>
        <w:t>Bundesverwaltungsgericht, 2015-06-02, DE</w:t>
      </w:r>
    </w:p>
    <w:p>
      <w:r>
        <w:rPr>
          <w:b/>
        </w:rPr>
        <w:t xml:space="preserve">Quelle: </w:t>
      </w:r>
      <w:r>
        <w:t>https://mcp.opencaselaw.ch/entscheid/bvger_E-3337_2014</w:t>
      </w:r>
    </w:p>
    <w:p>
      <w:r>
        <w:t>FR: TAF E-3337/2014 du 2 juin 2015</w:t>
      </w:r>
    </w:p>
    <w:p>
      <w:r>
        <w:t>IT: TAF E-3337/2014 del 2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(Art. 52 Abs. 2 aAsylG).</w:t>
      </w:r>
    </w:p>
    <w:p>
      <w:r>
        <w:rPr>
          <w:b/>
        </w:rPr>
        <w:t>E. 5.1</w:t>
      </w:r>
    </w:p>
    <w:p>
      <w:r>
        <w:t>Die Vorinstanz stellt in der angefochtenen Verfügung fest, die geltend gemachten Vorkommnisse liessen darauf schliessen, dass der Beschwerdeführer ernstzunehmende Schwierigkeiten mit den äthiopischen Behörden gehabt habe. Es sei daher zu prüfen, ob einer allfälligen Asylgewährung durch die Schweiz Art. 52 Abs. 2 AsylG entgegenstehe. Der Beschwerdeführer habe sich gemäss seinen Angaben nicht beim UNHCR als Flüchtling registriert lassen. Er lebe zusammen mit vier Freunden in einem Zimmer in Khartum. Nach Berichten des UNHCR würden sich zahlreiche äthiopische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Der Beschwerdeführer verfüge nicht über ein freies Aufenthaltsrecht im ganzen Land. Die Befürchtung, nach Äthiopien zurückgeschafft zu werden, sei unbegründet. Gemäss gesicherten Erkenntnissen sei das Risiko einer Deportation oder Verschleppung für Äthiopier, die im Sudan vom UNHCR als Flüchtlinge anerkannt worden seien, gering. Das UNHCR registriere vor Ort sämtliche Äthiopier, unabhängig aus welchem Grund sie Äthiopien verlassen hätten. Der Beschwerdeführer habe keine asylrelevante Gefährdung glaubhaft machen können. Indes könne er sich jederzeit bei einer Vertretung des UNHCR vor Ort melden und erhalte den Flüchtlingsstatus. Für äthiopische Flüchtlinge sei das Leben in Khartum nicht einfach. Der Beschwerdeführer halte sich aber seit über acht Jahren im Sudan auf. Die Hürden für eine zumutbare Existenz in Khartum seien angesichts dieses längeren Aufenthalts nicht unüberwindbar. Eine schwierige Lebenssituation und insoweit humanitäre Überlegungen würden keinen Grund für eine Einreise darstellen. Überdies lebe im Sudan eine grosse äthiopische Diaspora, die für in Not geratene Landsleute bereitstehe und weitgehend Unterstützung biete. Schliesslich habe der Beschwerdeführer keine Beziehungsnähe zur Schweiz, weshalb er den subsidiären Schutz der Schweiz nicht benötige. Es sei ihm zuzumuten, im Sudan zu verbleiben.</w:t>
      </w:r>
    </w:p>
    <w:p>
      <w:r>
        <w:rPr>
          <w:b/>
        </w:rPr>
        <w:t>E. 5.2</w:t>
      </w:r>
    </w:p>
    <w:p>
      <w:r>
        <w:t>Wie die Vorinstanz anerkennt auch das Gericht, dass der Beschwerdeführer einerseits in Äthiopien ernstzunehmende Schwierigkeiten hatte, andererseits die Lage für äthiopische Flüchtlinge im Sudan nicht einfach ist. Indes legt der Beschwerdeführer in der Rechtsmitteleingabe mit dem Wiederholen seiner Asylvorbringen und den allgemeinen Ausführungen zur Situation der Flüchtlinge im Sudan nicht dar, inwiefern ihm persönlich ein weiterer dortiger Aufenthalt nicht zumutbar und möglich ist. Dieser Schluss wird dadurch bestätigt, dass der Beschwerdeführer seit nunmehr zehn Jahren im Sudan lebt und offenbar ausserhalb eines Flüchtlingslagers in Khartum ein Auskommen gefunden hat. Was die eingereichte, für sechs Monate gültige Aufenthaltsbewilligung anbelangt, ist festzustellen, dass diese lediglich in Kopie vorliegt, der Name und das Geburtsdatum mit den Angaben des Beschwerdeführers im Rahmen des Asylgesuchs nicht übereinstimmen und die Foto von derart schlechter Qualität ist, dass nicht erkennbar ist, ob es sich dabei um den Beschwerdeführer handelt. Insoweit vermag der Beschwerdeführer aus diesem Beleg nichts zu seinen Gunsten abzuleiten. Weiter sind die angeblich fast täglichen Kontakte mit der Polizei oder dem Militär offensichtlich ohne jegliche Folgen für den Beschwerdeführer geblieben. Sodann bringt der Beschwerdeführer auch keine konkreten Anhaltspunkte für seine Befürchtung vor, er könnte von den sudanesischen Behörden nach Äthiopien zurückgeschickt oder verschleppt werden. Als, wie in der Eingabe ausgeführt, vom UNHCR registrierter Flüchtling kann er sich bei allfälligen Schwierigkeiten mit den sudanesischen Behörden jederzeit wieder an die Organisation wenden und deren Schutz in Anspruch nehmen. Bei Bedarf wird ihm auch die notwendige Grundversorgung gewährt. Schliesslich macht der Beschwerdeführer keinen Bezug zur Schweiz geltend. Um Wiederholungen zu vermeiden, kann weitergehend vollumfänglich auf die zutreffenden Erwägungen in der angefochtenen Verfügung verweisen werden.</w:t>
      </w:r>
    </w:p>
    <w:p>
      <w:r>
        <w:rPr>
          <w:b/>
        </w:rPr>
        <w:t>E. 5.3</w:t>
      </w:r>
    </w:p>
    <w:p>
      <w:r>
        <w:t>Zusammenfassend ist festzustellen, dass dem Beschwerdeführer ein weiterer Verbleib im Sudan zumutbar ist und er auf den Schutz der Schweiz nicht angewiesen ist. Die Vorinstanz hat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