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E-3336/2008 vom 18. Mai 2011</w:t>
      </w:r>
    </w:p>
    <w:p>
      <w:r>
        <w:t>Bundesverwaltungsgericht, 2011-05-18, FR</w:t>
      </w:r>
    </w:p>
    <w:p>
      <w:r>
        <w:rPr>
          <w:b/>
        </w:rPr>
        <w:t xml:space="preserve">Quelle: </w:t>
      </w:r>
      <w:r>
        <w:t>https://mcp.opencaselaw.ch/entscheid/bvger_E-3336_2008</w:t>
      </w:r>
    </w:p>
    <w:p>
      <w:r>
        <w:t>FR: TAF E-3336/2008 du 18 mai 2011</w:t>
      </w:r>
    </w:p>
    <w:p>
      <w:r>
        <w:t>IT: TAF E-3336/2008 del 18 maggio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outre, si le Tribunal, comme l'ODM, ne remet pas en cause les faits tels que l'intéressé les a dépeints lors de ses auditions, il constate néanmoins que l'acte de recours tente de les faire apparaître, sans que ce point de vue soit suffisamment étayé, sous une couleur différente, et d'en déduire l'existence d'une persécution de nature politique. En effet, le recourant a clairement affirmé, à plusieurs reprises, que ses difficiles conditions de travail et le stress qu'il subissait avaient provoqué chez lui une grande tension et une importante fatigue ; son état se serait aggravé après sa participation aux affrontements armés de la fin 2006. C'était donc essentiellement pour ces raisons qu'il avait quitté la Tunisie, car il ne pouvait trouver remède à sa situation, que ce soit par une mutation ou la reconnaissance d'un état de santé perturbé. Il n'aurait donc eu d'autre choix que de déserter (cf. audition du 2 octobre 2007, questions 35-49, 60-66, 69 et 71-73). Dans ce contexte, il apparaît donc que les motifs de son départ ne correspondaient pas à ceux qu'énumère limitativement l'art. 3 LAsi. Certes, le Tribunal n'exclut pas que l'intéressé ait pu éprouver des scrupules à devoir exécuter les ordres arbitraires qui lui étaient adressés. Rien dans son récit n'indique toutefois qu'il en fait part à quiconque, et donc que ses supérieurs en aient été informés. Dès lors, c'est en raison de son abandon de poste que l'intéressé peut craindre d'être sanctionné par les autorités judiciaires ou administratives tunisiennes. Or, selon une jurisprudence constante et bien établie, d'éventuelles sanctions pour insoumission ou désertion ne constituent en principe pas une persécution déterminante en matière d'asile. Cela ne serait le cas que si, pour l'un des motifs énoncés à l'art. 3 LAsi, la personne concernée était exposée à une sanction plus lourde que ne le serait une autre placée dans la même situation ou à une peine d'une sévérité disproportionnée (Jurisprudence et informations de l'ancienne Commission suisse de recours en matière d'asile [JICRA] 2006 n° 3 p. 29ss, 2004 n° 2 consid. 6b/aa p. 16s. et réf. cit.). Toutefois, sans aborder ici la question de la persistance de ce risque, après le changement de régime, rien en l'état ne permet d'admettre qu'une pareille hypothèse soit fondée, le motif dénotant une intention persécutrice faisant défaut. Le fait que la peine puisse être d'une ampleur disproportionnée est une autre question, sur laquelle il sera revenu plus bas.</w:t>
      </w:r>
    </w:p>
    <w:p>
      <w:r>
        <w:rPr>
          <w:b/>
        </w:rPr>
        <w:t>E. 3.2</w:t>
      </w:r>
    </w:p>
    <w:p>
      <w:r>
        <w:t>L'acte de recours se réfère certes à plusieurs épisodes lors desquels le recourant aurait refusé de se conformer au comportement que ses chefs attendaient de lui, soit en refusant un traitement de faveur à des proches du pouvoir, soit en ne se prêtant pas à des extorsions masquées sous l'apparence de sanctions légales, et de façon générale en refusant la corruption. Ces faits, hormis quelques-uns (les cas survenus en novembre-décembre 2006), n'ont cependant été allégués qu'au stade du recours, sans qu'on en voie la raison. Leur réalité, qui n'est étayée par aucun commencement de preuve, est donc sujette à caution, car il aurait logiquement incombé au recourant de s'en prévaloir à l'appui de ses motifs. Il apparaît en outre qu'ayant préparé son départ plusieurs mois à l'avance et ayant quitté la Tunisie muni d'un passeport et de toutes les autorisations nécessaires, le recourant ne se sentait pas menacé de manière pressante. La pertinence de ces faits n'est pas non plus établie. En effet, à l'en croire, pour ne pas s'être conformé aux pratiques douteuses entretenues au sein de la Garde nationale, l'intéressé aurait été placé deux fois aux arrêts pour plusieurs semaines et suspendu de son traitement ; il apparaît cependant que ces sanctions, jamais évoquées devant la première instance, sont très antérieures à son départ, et donc sans rapport de causalité avec lui. Par la suite, il aurait été entravé dans ses aspirations professionnelles, privé de toute promotion et, en raison de sa réputation, plusieurs fois transféré dans des postes défavorables (cf. acte de recours, p. 7, pt. 32). Toutefois, quand bien même ces brimades seraient attestées, il n'est pas établi que l'intéressé ait été victime d'une persécution, non seulement vu leur manque d'intensité, mais aussi parce qu'elles n'auraient pas manifestement découlé d'un des motifs prévus à l'art. 3 LAsi.</w:t>
      </w:r>
    </w:p>
    <w:p>
      <w:r>
        <w:rPr>
          <w:b/>
        </w:rPr>
        <w:t>E. 3.3</w:t>
      </w:r>
    </w:p>
    <w:p>
      <w:r>
        <w:t>A cela s'ajoute qu'aucun des documents déposés par le recourant, quoi qu'il en dise, ne permet d'établir la pertinence du récit. Ils attestent de son activité professionnelle, dont sa participation probable aux affrontements armés de la fin 2006, et confirment que son départ a été accompli régulièrement, au vu et au su des autorités. La convocation du 8 octobre 2007, quant à elle, établit uniquement que l'intéressé était alors recherché pour abandon de poste. Par ailleurs, les nombreux rapports d'organisations internationales et de protection des droits de l'homme relatives à la situation de ces derniers en Tunisie sont de portée générale et ne concernent pas directement le recourant.</w:t>
      </w:r>
    </w:p>
    <w:p>
      <w:r>
        <w:rPr>
          <w:b/>
        </w:rPr>
        <w:t>E. 3.4</w:t>
      </w:r>
    </w:p>
    <w:p>
      <w:r>
        <w:t>Le recourant a également fait valoir qu'ayant déposé une demande d'asile à l'étranger, il risquait d'être arrêté à son retour et condamné, le dépôt d'une telle demande étant assimilé en Tunisie à une propagande hostile au contre le régime. Si les services de sécurité tunisiens avaient en effet recours à des gardes à vue, parfois accompagnées de mauvais traitements, en cas de retour dans le pays de personnes ayant eu des contacts avec des groupements d'opposition actifs à l'étranger, ce risque peut aujourd'hui être considéré comme inexistant, en raison de la chute de Ben Ali et du changement de régime. On peut d'ailleurs relever que le recourant n'entrait manifestement pas dans cette catégorie de personnes, dans la mesure où il ne présentait aucun profil politique particulier et n'avait jamais milité dans un parti d'opposition, en Tunisie ou en Suisse. Dés lors, les autorités tunisiennes n'avaient aucune raison d'être informées du dépôt de sa demande d'asile en Suisse, ce d'autant moins qu'il a quitté légalement le pays, et n'avaient pas non plus de raisons d'attribuer au départ du recourant des motifs politiques. En conséquence, même s'il doit être appelé à s'expliquer sur son abandon de poste, les craintes que l'intéressé fait valoir au sujet des conséquences du dépôt de sa demande ne peuvent être retenues.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Tribunal relève que l'intéressé n'a pas démontré l'existence d'un risque sérieux au sens vu ci-dessus. En effet, le changement de régime survenu en janvier 2011 a, là aussi, modifié la situation. Avant cette date, l'intéressé aurait certainement risqué de se voir infliger une peine exorbitante pour désertion, ce qui peut se révéler incompatible avec l'art. 3 CEDH (cf. (cf. ATF 121 II 296 consid. 4a, ATF 130 II 217 consid. 8.1 et les arrêts cités), voire de subir pour ce motif de mauvais traitements. A la date du présent arrêt, cependant, cette hypothèse ne peut plus être soutenue : bien que les institutions démocratiques ne soient pas encore solidement enracinées en Tunisie, le degré d'arbitraire affectant les actes des autorités et de la police a nettement diminué ; cette évolution n'a pu que se refléter dans les procédures disciplinaires au sein des forces de l'ordre, les responsables ne se sentant plus, comme autrefois, incités et encouragés par les autorités politiques à agir de manière illégale. Il est donc probable qu'une éventuelle procédure ouverte contre le recourant, si tant est qu'elle doive se dérouler, ne l'exposerait pas à des risques de nature à exclure l'exécution du renvoi, ce d'autant moins qu'il en manquerait pas de présenter son attitude comme inspirée par son opposition au régime déchu.</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Tunisie reste affectée par un certain degré d'agitation, marqué par de nombreuses manifestations ; cependant,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bénéfice d'une expérience professionnelle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d'un passeport valable et peut donc rentrer sans difficultés dans son pays d'origine. L'exécution du renvoi ne se heurte dès lors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L'assistance judiciaire partielle ayant été prononcée,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