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E-3332/2014 vom 24. Juni 2014</w:t>
      </w:r>
    </w:p>
    <w:p>
      <w:r>
        <w:t>Bundesverwaltungsgericht, 2014-06-24, DE</w:t>
      </w:r>
    </w:p>
    <w:p>
      <w:r>
        <w:rPr>
          <w:b/>
        </w:rPr>
        <w:t xml:space="preserve">Quelle: </w:t>
      </w:r>
      <w:r>
        <w:t>https://mcp.opencaselaw.ch/entscheid/bvger_E-3332_2014</w:t>
      </w:r>
    </w:p>
    <w:p>
      <w:r>
        <w:t>FR: TAF E-3332/2014 du 24 juin 2014</w:t>
      </w:r>
    </w:p>
    <w:p>
      <w:r>
        <w:t>IT: TAF E-3332/2014 del 24 giugno 2014</w:t>
      </w:r>
    </w:p>
    <w:p>
      <w:pPr>
        <w:pStyle w:val="Heading2"/>
      </w:pPr>
      <w:r>
        <w:t>Regeste</w:t>
      </w:r>
    </w:p>
    <w:p>
      <w:r>
        <w:t>Nichteintreten auf Asylgesuch (kein Asylgesuch gemäss AsylG)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VwVG) ist grundsätzlich einzutreten.</w:t>
      </w:r>
    </w:p>
    <w:p>
      <w:r>
        <w:rPr>
          <w:b/>
        </w:rPr>
        <w:t>E. 1.2</w:t>
      </w:r>
    </w:p>
    <w:p>
      <w:r>
        <w:t>Die Anerkennung der Flüchtlingseigenschaft und die Gewährung von Asyl bilden nicht Gegenstand des angefochtenen vorinstanzlichen Nichteintretensentscheides, weshalb auf die diesbezüglichen Beschwerdeanträge nicht einzutreten ist.</w:t>
      </w:r>
    </w:p>
    <w:p>
      <w:r>
        <w:rPr>
          <w:b/>
        </w:rPr>
        <w:t>E. 1.3</w:t>
      </w:r>
    </w:p>
    <w:p>
      <w:r>
        <w:t>Gemäss Art. 42 AsylG und Art. 55 Abs. 1 VwVG hat die vorliegende Beschwerde aufschiebende Wirkung. Mangels Entzug der aufschiebenden Wirkung durch die Vorinstanz (vgl. Art. 55 Abs. 2 VwVG) ist auf den Eventualantrag, die aufschiebende Wirkung der Beschwerde sei wiederherzustellen, ebenfalls nicht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2.3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Gemäss Art. 31a Abs. 3 AsylG wird auf ein Asylgesuch, welches die Voraussetzungen von Art. 18 AsylG nicht erfüllt, nicht eingetreten. Dies gilt namentlich, wenn das Asylgesuch ausschliesslich aus wirtschaftlichen oder medizinischen Gründen eingereicht wurde. Als Asylgesuch gilt jede Äusserung, mit der eine Person zu erkennen gibt, dass sie die Schweiz um Schutz vor Verfolgung nachsucht (Art. 18 AsylG). Eine Person muss demnach zum Ausdruck bringen, dass sie in ihrem Heimatstaat oder im Land, in dem sie zuletzt wohnte, wegen ihrer Rasse, Religion, Nationalität, Zugehörigkeit zu einer bestimmten sozialen Gruppe oder ihrer politischen Anschauungen ernsthaften Nachteilen ausgesetzt ist oder dass sie begründete Furcht hat, solchen Nachteilen ausgesetzt zu werden (Art. 3 Abs. 1 AsylG).</w:t>
      </w:r>
    </w:p>
    <w:p>
      <w:r>
        <w:rPr>
          <w:b/>
        </w:rPr>
        <w:t>E. 3.2</w:t>
      </w:r>
    </w:p>
    <w:p>
      <w:r>
        <w:t>Die Vorinstanz stellt in der angefochtenen Verfügung im Wesentlichen fest, der Beschwerdeführer habe angegeben, Kosovo einzig und allein aus medizinischen Gründen verlassen zu haben. Probleme mit den Behörden, der Armee oder der Polizei habe er im Heimatland nie gehabt. Gemäss Art. 31a Abs. 3 AsylG werde somit nicht auf sein Asylgesuch eingetreten.</w:t>
      </w:r>
    </w:p>
    <w:p>
      <w:r>
        <w:rPr>
          <w:b/>
        </w:rPr>
        <w:t>E. 3.3</w:t>
      </w:r>
    </w:p>
    <w:p>
      <w:r>
        <w:t>Der Beschwerdeführer legt in seiner Rechtsmitteleingabe nicht ansatzweise dar, inwiefern die Vorinstanz mit ihrem Entscheid Bundesrecht verletzt haben soll. Solches ist auch nicht ersichtlich. So legt der Beschwerdeführer selber dar, dass er lediglich aus medizinischen Gründen in die Schweiz eingereist sei. Er habe am (...) einen schweren Arbeitsunfall erlitten und sei danach in der Schweiz behandelt worden, jedoch noch nicht in genügender Weise. Im Kosovo bekomme er keine ausreichende medizinische Behandlung und niemand komme für die Kosten auf. Daraus lässt sich schliessen, dass der Beschwerdeführer einzig in die Schweiz gereist ist, um sich hier gesund zu pflegen. Auch der beigelegte ärztliche Bericht vom (...) inklusive Übersetzung bestätigt dies. Die Vorinstanz ist somit zu Recht gestützt auf Art. 31a Abs. 3 AsylG auf sein Asylgesuch nicht eingetreten, da kein solches vorliegt, sondern die Einreise rein aus medizinischen Gründen erfolgte.</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S.733). Die Wegweisung wurde demnach zu Recht verfügt.</w:t>
      </w:r>
    </w:p>
    <w:p>
      <w:r>
        <w:rPr>
          <w:b/>
        </w:rPr>
        <w:t>E. 5.1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Serbien beziehungsweise nach Kosovo dort mit beachtlicher Wahrscheinlichkeit einer nach Art. 3 EMRK oder Art. 1 FoK verbotenen Strafe oder Behandlung ausgesetzt wäre. Der Vollzug der Wegweisung ist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Serbien respektive in Kosovo noch individuelle Gründe lassen auf eine konkrete Gefährdung im Falle einer Rückkehr des Beschwerdeführers schliessen. So herrscht weder in Serbien noch in Kosovo eine Situation allgemeiner Gewalt. Beide Staaten befinden sich seit dem 1. April 2009 auf der vom Bundesrat festgelegten Liste der sogenannten "Safe Countries". Die gesundheitlichen Beschwerden des Beschwerdeführers stehen der Zumutbarkeit des Wegweisungsvollzugs ebenfalls nicht entgegen. Wie die Vorinstanz zu Recht ausführt, ist die medizinische Versorgung in Kosovo gewährleistet. Daran ändert auch der - im Übrigen veraltete - Bericht vom (...) aus dem Heimatstaat des Beschwerdeführer nichts, wonach dieser seine Behandlung an dem Ort fortsetzen sollte, an welchem er sie begonnen habe. Das eingereichte Arbeitsunfähigkeitszeugnis vom (...) steht dem Wegweisungsvollzug ebenfalls nicht entgegen, zumal die Arbeitsunfähigkeit nur bis zum (...) angeordnet worden ist. Schliesslich sei am Rande erwähnt, dass der Beschwerdeführer in Kosovo über ein familiäres Beziehungsnetz verfügt.</w:t>
      </w:r>
    </w:p>
    <w:p>
      <w:r>
        <w:rPr>
          <w:b/>
        </w:rPr>
        <w:t>E. 5.4</w:t>
      </w:r>
    </w:p>
    <w:p>
      <w:r>
        <w:t>Der Vollzug ist schliesslich nach Art. 83 Abs. 2 AuG als möglich zu bezeichnen, weil es dem Beschwerdeführer obliegt, sich bei der zuständigen Vertretung seines Heimatstaates die für eine Rückkehr notwendigen Reisedokumente zu beschaffen (Art. 8 Abs. 4 AsylG; BVGE 2008/34 E. 12).</w:t>
      </w:r>
    </w:p>
    <w:p>
      <w:r>
        <w:rPr>
          <w:b/>
        </w:rPr>
        <w:t>E. 6</w:t>
      </w:r>
    </w:p>
    <w:p>
      <w:r>
        <w:t>Nach dem Gesagten ergibt sich, dass die angefochtene Verfügung Bundesrecht nicht verletzt und auch sonst nicht zu beanstanden ist (Art. 106 Abs. 1 AsylG). Die Beschwerde ist abzuweisen.</w:t>
      </w:r>
    </w:p>
    <w:p>
      <w:r>
        <w:rPr>
          <w:b/>
        </w:rPr>
        <w:t>E. 7</w:t>
      </w:r>
    </w:p>
    <w:p>
      <w:r>
        <w:t>In Ablehnung des Gesuchs um unentgeltliche Rechtspflege wegen Aussichtslosigkeit der Begehren (Art. 65 Abs. 1 und 2 VwVG) sind die Kosten des vorliegenden Verfahrens dem Beschwerdeführer aufzuerlegen (Art. 63 Abs. 1 und 5 VwVG) und auf insgesamt Fr. 600.- festzusetzen (Art. 1 - 3 des Reglements vom 21. Februar 2008 über die Kosten und Entschädigungen vor dem Bundesverwaltungsgericht [VGKE, SR 173.320.2]). Das Gesuch um Verzicht auf Erhebung eines Kostenvorschusses ist mit dem vorliegenden Urteil gegenstandslos geworden, genauso wie die weiteren prozessualen Begehren.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