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E-3332/2009 vom 30. August 2011</w:t>
      </w:r>
    </w:p>
    <w:p>
      <w:r>
        <w:t>Bundesverwaltungsgericht, 2011-08-30, FR</w:t>
      </w:r>
    </w:p>
    <w:p>
      <w:r>
        <w:rPr>
          <w:b/>
        </w:rPr>
        <w:t xml:space="preserve">Quelle: </w:t>
      </w:r>
      <w:r>
        <w:t>https://mcp.opencaselaw.ch/entscheid/bvger_E-3332_2009</w:t>
      </w:r>
    </w:p>
    <w:p>
      <w:r>
        <w:t>FR: TAF E-3332/2009 du 30 août 2011</w:t>
      </w:r>
    </w:p>
    <w:p>
      <w:r>
        <w:t>IT: TAF E-3332/2009 del 30 agosto 2011</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w:t>
      </w:r>
    </w:p>
    <w:p>
      <w:r>
        <w:rPr>
          <w:b/>
        </w:rPr>
        <w:t>E. 1.2</w:t>
      </w:r>
    </w:p>
    <w:p>
      <w:r>
        <w:t>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1.3</w:t>
      </w:r>
    </w:p>
    <w:p>
      <w:r>
        <w:t>Le recourant a qualité pour recourir. Présenté dans la forme et les délais prescrits par la loi, le recours est recevable (48ss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Conformément à une jurisprudence constante, le Tribunal tient compte de la situation dans l'Etat concerné et des éléments de faits tels qu'ils se présentent au moment où il se prononce (cf. Arrêts du Tribunal administratif fédéral suisse [ATAF] 2008/12 consid. 5.2 p. 154 s., ATAF 2008/4 consid. 5.4 p. 38 s. ; arrêts du Tribunal administratif fédéral E-3468/2006 du 6 mars 2009 consid. 3.2 et D-6866/2006 du 29 octobre 2008 consid. 1.5 ; cf. également dans ce sens Jurisprudence et informations de la Commission suisse de recours en matière d'asile [JICRA] 2005 n° 18 consid. 5.7.1 p. 164 et JICRA 2000 n° 2 consid. 8 p. 20 ss). Il prend ainsi en considération l'évolution de la situation intervenue depuis le dépôt de la demande d'asile.</w:t>
      </w:r>
    </w:p>
    <w:p>
      <w:r>
        <w:rPr>
          <w:b/>
        </w:rPr>
        <w:t>E. 2.4</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JICRA 2000 n° 9 consid. 5a p. 78 et JICRA 1997 n 10 consid. 6 p. 73 ainsi que les références de jurisprudence et de doctrine citées).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(cf. JICRA 1994 n° 24 p. 171 ss et JICRA 1993 n° 11 p. 67 ss).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JICRA 2004 no 1 consid. 6a p. 9, JICRA 1993 n° 21 p. 134 ss et JICRA 1993 n° 11 p. 67 ss ; Minh Son Nguyen, Droit public des étrangers, Berne 2003, p. 447 ss ; Alberto Achermann / Christina Hausammann, Les notions d'asile et de réfugié en droit suisse, in : Walter Kälin (édit.), Droit des réfugiés, enseignement de 3e cycle de droit 1990, Fribourg 1991, p. 44 ; Achermann / Hausammann, Handbuch des Asylrechts, 2e éd., Berne/Stuttgart 1991, p. 108 ss ; Walter Kälin, Grundriss des Asylverfahrens, Bâle/Francfort-sur-le-Main 1990, p. 126 et 143 ss).</w:t>
      </w:r>
    </w:p>
    <w:p>
      <w:r>
        <w:rPr>
          <w:b/>
        </w:rPr>
        <w:t>E. 3.1</w:t>
      </w:r>
    </w:p>
    <w:p>
      <w:r>
        <w:t>Dans son recours, l'intéressé a contesté toute possibilité de fuite interne au nord de l'Irak, faisant valoir sa crainte d'être exposé à une persécution en tant que prêtre et membre de la communauté chaldéenne d'Irak.</w:t>
      </w:r>
    </w:p>
    <w:p>
      <w:r>
        <w:rPr>
          <w:b/>
        </w:rPr>
        <w:t>E. 3.2</w:t>
      </w:r>
    </w:p>
    <w:p>
      <w:r>
        <w:t>A cet égard, il sied, tout d'abord, de relever que la population chrétienne constitue la principale minorité non musulmane en Irak. Les estimations portant sur le nombre de chrétiens avant la guerre varient entre 800'000 à 1,2 millions ; aujourd'hui, ils ne constitueraient plus qu'un nombre situé entre 400'000 et 700'000. Environ un tiers d'entre eux vit actuellement dans les provinces du Kurdistan irakien, dont une grande partie de déplacés, tandis que la majorité d'entre eux vit encore dans les villes et régions de Bagdad et Bassorah (cf. Michelle Zumofen, Irak : Situation des minorités religieuses dans les provinces de Souleymanieh, Erbil et Dohouk, administrées par le gouvernement régional du Kurdistan [KRG], Papier thématique de la section analyse de pays de l'OSAR, Berne, 10 janvier 2008, p. 10). Depuis la chute du régime de Saddam Hussein, la situation sécuritaire de la communauté chaldéenne, comme celle de l'ensemble des communautés religieuses non musulmanes, s'est détériorée. Dans les provinces du centre de l'Irak, les chrétiens sont en effet soumis à des discriminations, voire à des menaces et des violences, ainsi qu'à des limitations dans leur liberté de culte et de mouvement (cf. ATAF 2008/12 consid. 6.4.3). Le risque pour un chrétien d'être victime d'un attentat dépend, en particulier, de son profil. Celui qui s'affiche publiquement comme le représentant d'une minorité religieuse ou qui exerce une profession mal considérée par les groupes fondamentalistes est plus exposé que celui qui n'a pas ce profil spécifique. Ainsi, les enlèvements et les meurtres visent davantage les membres du clergé, comme les personnes travaillant pour des compagnies étrangères ou exerçant certaines professions ou des fonctions publiques (cf. Preti Taneja, Assimilation, Exodus, Eradication : Iraq's minority communities since 2003, Report, Minority Rights Group International, février 2007, p. 8 ss, en ligne sur www.minorityrights.org &gt; Publications &gt; Reports, consulté le 22 septembre 2008). Les attaques les plus sévères contre la minorité chrétienne se concentrent essentiellement au centre et au sud de l'Irak, où le vide sécuritaire, le climat d'impunité, l'islamisation de la société et la radicalisation des Arabes et des Kurdes, du moins d'une partie d'entre eux, a conduit au développement de milices kurdes et arabes qui s'affrontent entre elles et qui, à l'instar de nombreuses bandes criminelles qui se servent de la religion et de la politique pour légitimer leurs actes, s'en prennent souvent aux minorités non musulmanes, plus vulnérables (cf. ATAF 2008/4 précité, consid. 6.3 p. 42ss ; Michelle Zumhofen, p. 12ss ; UK Border Agency, Operational guidance note : Iraq, July 2010, p. 24). Les chrétiens font l'objet de toutes sortes d'agressions visant à leur extorquer des fonds par tous les moyens imaginables et les pousser à la conversion par les édits religieux (fatwa), voire à l'assimilation ou la fuite (cf. UNHCR's Eligiblity Guidelines for Assessing the International Protection Needs for Iraqi Asylum-Seekers, août 2007, p. 47-121). La ville de Mossoul, chef-lieu de la province de Ninive, où la présence islamiste est particulièrement forte, a été le théâtre entre la fin du mois de septembre et la mi-octobre 2008 d'une campagne particulièrement violente de propagande anti-chrétienne et d'agressions à l'origine de la fuite, en quelques jours, de milliers de familles appartenant à cette communauté, dont beaucoup se sont réfugiées dans des villages chrétiens de la plaine de Ninive (cf. AFP 11.10.2008). De même, depuis l'attaque menée contre une église de Bagdad le 31 octobre 2010 et les attaques ciblées consécutives, les communautés chrétiennes de Bagdad et de Mossoul ont entamé un exode lent, mais régulier (cf. UNHCR : Reports increase in flight of Iraqi Christians, 17 décembre 2010).</w:t>
      </w:r>
    </w:p>
    <w:p>
      <w:r>
        <w:rPr>
          <w:b/>
        </w:rPr>
        <w:t>E. 3.3</w:t>
      </w:r>
    </w:p>
    <w:p>
      <w:r>
        <w:t>La situation des minorités religieuses, et des chrétiens en particulier, est toutefois différente dans les trois provinces kurdes du nord de l'Irak. En effet, les chrétiens y sont généralement respectés et peuvent y pratiquer leur religion. La nouvelle constitution garantit d'ailleurs le droit d'exercer sa religion. La relative tolérance du gouvernement régional du Kurdistan irakien (KRG) et de ses habitants explique l'importance de la communauté chrétienne dans ces provinces. Cette minorité n'y est pas victime d'actes de violence ou de persécution systématiques, le KRG ayant formellement condamné les violences subies par les chrétiens irakiens (cf. IOM, Dahuk Governorate Profile, août 2009 ; Council of Europe Parliamentary Assembly, Violence against Christinans in the Middle East, 25 janvier 2011). De nombreuses sources font néanmoins état d'attaques isolées, d'autres difficultés, et même d'une certaine discrimination de la part de ces autorités, aucune mesure n'ayant en particulier été prise pour répondre aux besoins des chrétiens déplacés (cf. notamment Home Office UK Border Agency, op. cit., Iraq, July 2010, p. 24 Freedom House, Freedom in the World, Country Report Iraq, mai 2010 ; IRIN, Christian IDPs find refuge in Kurdish north, 23 décembre 2010 ; Michelle Zumhofen, op. cit., p. 8 s ; UNHCR Eligibility Guidelines for Assessing the International Protection Needs of Iraqi Asylum-Seekers, avril 2009, ch. 310 p. 179, ATAF 2008/4 consid. 6.6.1, 6.6.3 et 6.6.6, ATAF 2008/5 consid. 7.5.1 et arrêt du Tribunal administratif fédéral D-7025/2007 du 24 juillet 2008 consid. 3.5.1 et 3.5.2). Cette appréciation correspond à la pratique du Tribunal qui considère qu'un cumul de l'appartenance à la communauté chrétienne avec d'autres facteurs individuels de risque est nécessaire pour admettre une crainte objectivement fondée de persécution au sens de l'art. 3 LAsi (cf. arrêt du Tribunal administratif fédéral E-7197/2006 du 18 juillet 2008 consid. 6.2.6 et E-5474/2006 du 16 avril 2009 consid. 4.4.2 ; Home Office, Operational Guidance Note: Iraq, July 2010, p. 6). Le Tribunal estime qu'il n'y a actuellement pas lieu de s'en écarter.</w:t>
      </w:r>
    </w:p>
    <w:p>
      <w:r>
        <w:rPr>
          <w:b/>
        </w:rPr>
        <w:t>E. 3.4</w:t>
      </w:r>
    </w:p>
    <w:p>
      <w:r>
        <w:t>Dans un arrêt de principe, le Tribunal a, par ailleurs, considéré que les forces de l'ordre et les autorités judiciaires des trois provinces kurdes du nord de l'Irak avaient, en principe, la capacité et la volonté de protéger les habitants de ces entités contre les persécutions et que les chrétiens pouvaient, en règle générale, y compter sur une large tolérance de la majorité musulmane et pratiquer leur religion (cf. ATAF 2008/4 précité). Cela étant, il n'en demeure pas moins qu'il y a toutefois lieu, dans chaque cas d'espèce, de procéder à une analyse individuelle des risques, une possibilité ne pouvant être admise en toutes situations.</w:t>
      </w:r>
    </w:p>
    <w:p>
      <w:r>
        <w:rPr>
          <w:b/>
        </w:rPr>
        <w:t>E. 3.5</w:t>
      </w:r>
    </w:p>
    <w:p>
      <w:r>
        <w:t>En l'occurrence, force est de constater que le recourant a un profil spécifique dans la mesure où il est non seulement un membre de la communauté chrétienne chaldéenne, mais également un de ses représentants. Ordonné prêtre en (année), il a en effet exercé sa profession tant à Bagdad qu'à Zakho. Il a invoqué avoir été considéré comme (...) à Bagdad pour avoir accepté d'ouvrir la porte du couvent où il résidait aux forces irakiennes qui souhaitaient tendre une embuscade à des terroristes. Ce (...) est effectivement de nature à lui avoir créé de sérieuses difficultés à Bagdad. Ces éléments ne sont pas contestés par l'ODM.</w:t>
      </w:r>
    </w:p>
    <w:p>
      <w:r>
        <w:rPr>
          <w:b/>
        </w:rPr>
        <w:t>E. 3.6</w:t>
      </w:r>
    </w:p>
    <w:p>
      <w:r>
        <w:t>L'office fédéral a néanmoins argué que les craintes de persécution du recourant n'étaient pas déterminantes dans la mesure où il pouvait se prévaloir d'une possibilité de refuge interne, d'ailleurs concrétisée par sa mutation au nord du pays. Toutefois, à Zakho également, le recourant a déclaré avoir rencontré de sérieuses difficultés en raison de l'exercice de sa profession. S'il faut concéder à l'ODM que certaines zones d'ombre subsistent sur ces difficultés, le Tribunal considère que cette question peut rester ouverte dans la mesure où le recourant a incontestablement un profil particulier susceptible de lui faire encourir des persécutions futures en cas de retour en Irak, y compris à Dohuk. Comme relevé ci-dessus (cf. consid. 3.3. et références citées), si la communauté chaldéenne n'est pas persécutée de manière systématique dans la province de Dohuk, plusieurs sources d'information font état de graves discriminations à l'égard des prêtres ou des religieux, lesquels continuent de constituer une cible. Bien que la protection par le KRG soit, de manière générale, admise, il est probable, au vu de l'ensemble des éléments du dossier et en particulier du profil de l'intéressé, que ce dernier subisse de sérieux préjudices en cas de retour au nord de l'Irak. Force est donc d'admettre, en l'occurrence, la présence de facteurs individuels de risques sérieux, ce d'autant plus que le recourant ne peut qu'avoir acquis une visibilité particulière en ayant voyagé à l'étranger en tant que prêtre et en ayant passé plusieurs années en Suisse. Aucune possibilité de refuge interne ne saurait donc lui être opposable. Le Tribunal estime en conclusion, que le recourant s'est prévalu, à juste titre, d'une crainte objectivement fondée de persécution future, déterminante au regard de l'art. 3 LAsi, en cas de retour à Dohuk.</w:t>
      </w:r>
    </w:p>
    <w:p>
      <w:r>
        <w:rPr>
          <w:b/>
        </w:rPr>
        <w:t>E. 3.7</w:t>
      </w:r>
    </w:p>
    <w:p>
      <w:r>
        <w:t>Partant, il y a lieu de lui reconnaître la qualité de réfugié, au sens de l'art. 3 LAsi.</w:t>
      </w:r>
    </w:p>
    <w:p>
      <w:r>
        <w:rPr>
          <w:b/>
        </w:rPr>
        <w:t>E. 3.8</w:t>
      </w:r>
    </w:p>
    <w:p>
      <w:r>
        <w:t>Le dossier ne fait, enfin, apparaître aucun élément susceptible de constituer un motif d'exclusion de la qualité de réfugié au sens de l'art. 1 F de la Convention du 28 juillet 1951 relative au statut des réfugiés (Conv. réfugiés, RS 0.142.30) ou un motif d'indignité au sens de l'art. 53 LAsi, permettant d'exclure l'intéressé de la qualité de réfugié, voire de l'asile.</w:t>
      </w:r>
    </w:p>
    <w:p>
      <w:r>
        <w:rPr>
          <w:b/>
        </w:rPr>
        <w:t>E. 4</w:t>
      </w:r>
    </w:p>
    <w:p>
      <w:r>
        <w:t>En conséquence, le recours doit être admis, la décision du 17 avril 2009 annulée et le dossier renvoyé à l'ODM afin qu'il reconnaisse la qualité de réfugié du recourant et lui octroie l'asile, en application de l'art. 3 LAsi.</w:t>
      </w:r>
    </w:p>
    <w:p>
      <w:r>
        <w:rPr>
          <w:b/>
        </w:rPr>
        <w:t>E. 5</w:t>
      </w:r>
    </w:p>
    <w:p>
      <w:r>
        <w:t>Au vu de l'issue de la cause, il est statué sans frais de procédure (art. 63 al. 1 PA).</w:t>
      </w:r>
    </w:p>
    <w:p>
      <w:r>
        <w:rPr>
          <w:b/>
        </w:rPr>
        <w:t>E. 6</w:t>
      </w:r>
    </w:p>
    <w:p>
      <w:r>
        <w:t>Ayant eu gain de cause, le recourant a droit à des dépens conformément aux art. 7 al. 1 et 8 du règlement du 21 février 2008 concernant les frais, dépens et indemnités fixés par le Tribunal administratif fédéral (FITAF, RS 173.320.2) Au vu des pièces du dossier et de la note de frais jointe au mémoire de recours, le Tribunal estime équitable d'allouer des dépens d'un montant de Fr. (...).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