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E-3330/2019 vom 9. Juli 2019</w:t>
      </w:r>
    </w:p>
    <w:p>
      <w:r>
        <w:t>Bundesverwaltungsgericht, 2019-07-09, FR</w:t>
      </w:r>
    </w:p>
    <w:p>
      <w:r>
        <w:rPr>
          <w:b/>
        </w:rPr>
        <w:t xml:space="preserve">Quelle: </w:t>
      </w:r>
      <w:r>
        <w:t>https://mcp.opencaselaw.ch/entscheid/bvger_E-3330_2019</w:t>
      </w:r>
    </w:p>
    <w:p>
      <w:r>
        <w:t>FR: TAF E-3330/2019 du 9 juillet 2019</w:t>
      </w:r>
    </w:p>
    <w:p>
      <w:r>
        <w:t>IT: TAF E-3330/2019 del 9 luglio 2019</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dans le cas présent.</w:t>
      </w:r>
    </w:p>
    <w:p>
      <w:r>
        <w:rPr>
          <w:b/>
        </w:rPr>
        <w:t>E. 1.3</w:t>
      </w:r>
    </w:p>
    <w:p>
      <w:r>
        <w:t>Le recourant a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établi la pertinence de ses motifs.</w:t>
      </w:r>
    </w:p>
    <w:p>
      <w:r>
        <w:rPr>
          <w:b/>
        </w:rPr>
        <w:t>E. 3.2</w:t>
      </w:r>
    </w:p>
    <w:p>
      <w:r>
        <w:t>En effet, il ressort de son récit que le différend du recourant et de son père avec le dénommé D._______ et ses complices, cause de son départ, était de nature financière et purement privée ; il n'avait aucun aspect politique. En outre, rien ne permet d'admettre que les problèmes rencontrés par l'intéressé trouvent leur origine dans l'un des motifs prévus et énumérés à l'art. 3 LAsi.</w:t>
      </w:r>
    </w:p>
    <w:p>
      <w:r>
        <w:rPr>
          <w:b/>
        </w:rPr>
        <w:t>E. 3.3</w:t>
      </w:r>
    </w:p>
    <w:p>
      <w:r>
        <w:t>Il s'ensuit que le recours, en tant qu'il conteste le refus de l'asile, doit être rejeté.</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En l'espèce, l'intéressé n'a pas établi la vraisemblance d'un risque de cette nature, dans la mesure où il n'est pas crédible qu'il soit dépourvu de toute possibilité d'obtenir la protection des autorités serbes. En effet, le recourant et son père ont déposé trois plaintes auprès de la police de C._______, les (...) et (...) avril 2019 ; les policiers ont saisi les douilles trouvées par le père de l'intéressé afin d'y recueillir des indices (cf. procès-verbal [p.-v.] d'audition du 12 juin 2019, questions 85 et 86). Le fait qu'ils aient émis des doutes quant à la possibilité d'identifier les auteurs des menaces téléphoniques est compréhensible, les appels ayant été passés de l'étranger. De plus, l'intéressé ayant quitté la Serbie deux jours plus tard, il n'était guère possible que l'enquête ait déjà abouti. C'est donc tout à fait gratuitement que le recourant suppose que la police serbe refuserait ou négligerait de prendre en considération les menaces qui le visent ; il n'a d'ailleurs pas donné de raisons claires à une telle hypothèse, sinon très générales (cf. p.-v. d'audition du 12 juin 2019, questions 125, 126 et 138). L'acte de recours, qui inclut des considérations manifestement relatives à la procédure engagée par la mère du recourant, mais sans rapport avec le cas de celui-ci, n'apporte à cet égard aucune lumière. Le Tribunal admet dès lors que l'exécution du renvoi du recourant sous forme de refoulement ne transgresse aucun engagement de la Suisse relevant du droit international, de sorte qu'elle s'avère licite (art. 44 LAsi et art.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La Serbie n'est pas affectée par une situation d'instabilité qui permettrait d'emblée - et indépendamment des circonstances du cas d'espèce - de présumer, à propos de tous les ressortissants du pays, l'existence d'une mise en danger concrète au sens de cette disposition. En outre, il ne ressort du dossier aucun élément dont on pourrait inférer que l'exécution du renvoi impliquerait une mise en danger concrète du recourant. A cet égard, l'autorité de céans relève notamment qu'il est jeune, en bonne santé, sans charge de famille et a déjà été professionnellement actif dans la restauration à C._______ et dans les environs. 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possession d'un passeport serbe valide. L'exécution du renvoi ne se heurte donc pas à des obstacles insurmontables d'ordre technique et s'avère également possible (cf. ATAF 2008/34 consid. 12).</w:t>
      </w:r>
    </w:p>
    <w:p>
      <w:r>
        <w:rPr>
          <w:b/>
        </w:rPr>
        <w:t>E. 6</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7</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8.1</w:t>
      </w:r>
    </w:p>
    <w:p>
      <w:r>
        <w:t>Dans la mesure où les conclusions du recours étaient d'emblée vouées à l'échec, la requête d'assistance judiciaire totale doit être rejetée (cf. art. 65 al. 1 et 2 PA).</w:t>
      </w:r>
    </w:p>
    <w:p>
      <w:r>
        <w:rPr>
          <w:b/>
        </w:rPr>
        <w:t>E. 8.2</w:t>
      </w:r>
    </w:p>
    <w:p>
      <w:r>
        <w:t>En conséquence,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