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E-3330/2015 vom 11. Mai 2017</w:t>
      </w:r>
    </w:p>
    <w:p>
      <w:r>
        <w:t>Bundesverwaltungsgericht, 2017-05-11, FR</w:t>
      </w:r>
    </w:p>
    <w:p>
      <w:r>
        <w:rPr>
          <w:b/>
        </w:rPr>
        <w:t xml:space="preserve">Quelle: </w:t>
      </w:r>
      <w:r>
        <w:t>https://mcp.opencaselaw.ch/entscheid/bvger_E-3330_2015</w:t>
      </w:r>
    </w:p>
    <w:p>
      <w:r>
        <w:t>FR: TAF E-3330/2015 du 11 mai 2017</w:t>
      </w:r>
    </w:p>
    <w:p>
      <w:r>
        <w:t>IT: TAF E-3330/2015 del 11 maggio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2.1</w:t>
      </w:r>
    </w:p>
    <w:p>
      <w:r>
        <w:t>La recourante a qualité pour recourir. Présenté dans la forme et dans les délais prescrits par la loi, le recours est recevable (art. 48 et 52 PA et art. 108 al. 1 LAsi).</w:t>
      </w:r>
    </w:p>
    <w:p>
      <w:r>
        <w:rPr>
          <w:b/>
        </w:rPr>
        <w:t>E. 3</w:t>
      </w:r>
    </w:p>
    <w:p>
      <w:r>
        <w:t>L'intéressée n'a pas contesté les chiffres 1, 2 et 3 de la décision du SEM qui lui dénie la qualité de réfugié, rejette sa demande d'asile et prononce son renvoi, de sorte que sur ces points, celle-ci a acquis force de chose décidée. Reste en conséquence à examiner si le SEM a, à juste titre, ordonné l'exécution du renvoi de l'intéressée dans son pays d'origine (art. 44 al. 1 LAsi).</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l'espèce, l'exécution du renvoi ne contrevient pas au principe de non-refoulement de l'art. 5 LAsi. En effet, comme le SEM l'a constaté dans sa décision du 24 avril 2015, la recourante n'a pas rendu vraisemblable qu'en cas de retour dans son pays d'origine, elle serait exposée à de sérieux préjudices au sens de l'art. 3 LAsi.</w:t>
      </w:r>
    </w:p>
    <w:p>
      <w:r>
        <w:rPr>
          <w:b/>
        </w:rPr>
        <w:t>E. 5.4.1</w:t>
      </w:r>
    </w:p>
    <w:p>
      <w:r>
        <w:t>Par ailleurs, le Tribunal relève que l'intéressée n'a pas démontré l'existence d'un risque réel, fondé sur des motifs sérieux et avérés, d'être exposée à des traitements prohibés par l'art. 3 CEDH en cas de retour en Géorgie.</w:t>
      </w:r>
    </w:p>
    <w:p>
      <w:r>
        <w:rPr>
          <w:b/>
        </w:rPr>
        <w:t>E. 5.4.2</w:t>
      </w:r>
    </w:p>
    <w:p>
      <w:r>
        <w:t>Dès lors, l'exécution de son renvoi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6.2</w:t>
      </w:r>
    </w:p>
    <w:p>
      <w:r>
        <w:t>La Géorgie ne connaît pas une situation de guerre, de guerre civile ou de violence généralisée sur l'ensemble de son territoire qui permettrait d'emblée de présumer, pour tous les requérants ressortissants de cet Etat, et quelles que soient les circonstances de chaque cas d'espèce, l'existence d'une mise en danger concrète au regard de l'art. 83 al. 4 LEtr et de la jurisprudence susmentionnée.</w:t>
      </w:r>
    </w:p>
    <w:p>
      <w:r>
        <w:rPr>
          <w:b/>
        </w:rPr>
        <w:t>E. 6.3</w:t>
      </w:r>
    </w:p>
    <w:p>
      <w:r>
        <w:t>Reste à déterminer si le retour de l'intéressée et de ses enfants dans leur pays d'origine les mettrait concrètement en danger en raison de leur situation personnelle, compte tenu en particulier de leur état de santé.</w:t>
      </w:r>
    </w:p>
    <w:p>
      <w:r>
        <w:rPr>
          <w:b/>
        </w:rPr>
        <w:t>E. 6.3.1</w:t>
      </w:r>
    </w:p>
    <w:p>
      <w:r>
        <w:t>Sur ce point, le Tribunal retient d'abord que, s'agissant des personnes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w:t>
      </w:r>
    </w:p>
    <w:p>
      <w:r>
        <w:rPr>
          <w:b/>
        </w:rPr>
        <w:t>E. 7</w:t>
      </w:r>
    </w:p>
    <w:p>
      <w:r>
        <w:t>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7.1</w:t>
      </w:r>
    </w:p>
    <w:p>
      <w:r>
        <w:t>En l'espèce, selon le certificat médical établi, le (...), à cette date, la recourante souffrait d'un sentiment de solitude et d'anxiété quant à son avenir, en particulier en raison de la décision de renvoi dans son pays d'origine, prononcée par les autorités suisses. Elle présentait une humeur dépressive, une fatigue aigüe, des troubles du sommeil et une diminution de l'aptitude à se concentrer. Le diagnostic posé par le médecin retenait des troubles de l'adaptation avec réaction mixte et dépressive. Sur le plan somatique, l'intéressée présentait une hépatite C. La recourante a été soumise à un traitement médicamenteux pour dépression (Escitalopram®). Le médecin a également préconisé une reprise de la psychothérapie, entamée par l'intéressée en (...) déjà et interrompue en (...), pour suivre des cours professionnels de cuisine. S'agissant de l'hépatite C, seul un contrôle annuel des enzymes a été conseillé.</w:t>
      </w:r>
    </w:p>
    <w:p>
      <w:r>
        <w:rPr>
          <w:b/>
        </w:rPr>
        <w:t>E. 7.2</w:t>
      </w:r>
    </w:p>
    <w:p>
      <w:r>
        <w:t>Sur la base de ce qui précède, sans vouloir minimiser ses problèmes, le Tribunal constate que l'intéressée ne se trouve pas dans un état grave au point de ne pas pouvoir rentrer dans son pays. Par ailleurs, le fait qu'elle n'a pas donné suite à la demande du Tribunal de produire un certificat médical actualisé laisse présager qu'aujourd'hui son état s'est amélioré. A supposer toutefois que l'intéressée soit encore soumise à une psychothérapie, il appartiendrait à son thérapeute de prendre les mesures adéquates pour la préparer à son retour. Le Tribunal rappelle en effet qu'on ne saurait, d'une manière générale, prolonger indéfiniment le séjour d'une personne en Suisse au seul motif que la perspective d'un retour serait hypothétiquement susceptible d'avoir des conséquences sur le plan psychique (cf. notamment arrêt du Tribunal administratif fédéral E-4318/2007 du 3 février 2011 consid. 4.3.6 ainsi que les références de jurisprudence et doctrine citées).</w:t>
      </w:r>
    </w:p>
    <w:p>
      <w:r>
        <w:rPr>
          <w:b/>
        </w:rPr>
        <w:t>E. 7.3</w:t>
      </w:r>
    </w:p>
    <w:p>
      <w:r>
        <w:t>Par ailleurs, en cas de besoin, l'intéressée pourra poursuivre sa psychothérapie en Géorgie, comme par ailleurs le traitement médical. En effet, cet Etat dispose, en particulier à Tbilissi, soit dans la ville d'origine de l'intéressée, d'infrastructures médicales offrant des soins médicaux essentiels, au sens de la jurisprudence (cf. arrêt du Tribunal E-4107/2015 du 4 décembre 2015 con-sid. 5.7). Sur ce point, il y a lieu de relever en particulier que depuis février 2013, l'« Universal Health Care » garantit une couverture d'assurance-maladie gratuite pour toutes les personnes qui en étaient auparavant dépourvues (cf. ibidem). En conséquence, si l'intéressée devait avoir besoin d'un encadrement médical, elle pourrait trouver en Géorgie une aide appropriée.</w:t>
      </w:r>
    </w:p>
    <w:p>
      <w:r>
        <w:rPr>
          <w:b/>
        </w:rPr>
        <w:t>E. 7.4</w:t>
      </w:r>
    </w:p>
    <w:p>
      <w:r>
        <w:t>S'agissant enfin de son fils B._______, requise de produire un certificat médical actualisé le concernant, l'intéressée n'a pas, non plus, donné suite à cette demande. Tout porte ainsi à croire que l'enfant a pu terminer en Suisse la thérapie logopédique, sa fin ayant été prévue pour juillet 2015.</w:t>
      </w:r>
    </w:p>
    <w:p>
      <w:r>
        <w:rPr>
          <w:b/>
        </w:rPr>
        <w:t>E. 7.5</w:t>
      </w:r>
    </w:p>
    <w:p>
      <w:r>
        <w:t>Eu égard à ce qui précède, les motifs médicaux invoqués, tant en ce qui concerne l'intéressée elle-même que son fils, ne font pas obstacle à l'exécution de leur renvoi au regard de l'art. 83 al. 4 LEtr. Celle-ci doit donc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doit être rejeté.</w:t>
      </w:r>
    </w:p>
    <w:p>
      <w:r>
        <w:rPr>
          <w:b/>
        </w:rPr>
        <w:t>E. 10.1</w:t>
      </w:r>
    </w:p>
    <w:p>
      <w:r>
        <w:t>L'intéressée bénéficie de l'assistance judiciaire totale. En conséquence, il n'est pas perçu de frais.</w:t>
      </w:r>
    </w:p>
    <w:p>
      <w:r>
        <w:rPr>
          <w:b/>
        </w:rPr>
        <w:t>E. 10.2</w:t>
      </w:r>
    </w:p>
    <w:p>
      <w:r>
        <w:t>En vertu de l'art. 14 al. 2 du règlement du 21 février 2008 concernant les frais, dépens et indemnités fixés par le Tribunal administratif fédéral (FITAF, RS 173.320.2), applicable par l'analogie et eu égard à la note de frais reçue, le Tribunal fixe à 650 francs le montant de l'indemnité allouée au mandataire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