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E-3323/2020 vom 27. Juli 2020</w:t>
      </w:r>
    </w:p>
    <w:p>
      <w:r>
        <w:t>Bundesverwaltungsgericht, 2020-07-27, DE</w:t>
      </w:r>
    </w:p>
    <w:p>
      <w:r>
        <w:rPr>
          <w:b/>
        </w:rPr>
        <w:t xml:space="preserve">Quelle: </w:t>
      </w:r>
      <w:r>
        <w:t>https://mcp.opencaselaw.ch/entscheid/bvger_E-3323_2020</w:t>
      </w:r>
    </w:p>
    <w:p>
      <w:r>
        <w:t>FR: TAF E-3323/2020 du 27 juillet 2020</w:t>
      </w:r>
    </w:p>
    <w:p>
      <w:r>
        <w:t>IT: TAF E-3323/2020 del 27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Januar 2018],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des Beschwerdeführers und gegebenenfalls die Asylgewährung. Falls kein Asyl zu gewähren ist, sind im Weiteren die Wegweisung und der Wegweisungsvollzug zu prüfen.</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Zur Verneinung der Flüchtlingseigenschaft und Abweisung des Asylgesuches führt die Vorinstanz in der angefochtenen Verfügung im Wesentlichen aus, der Beschwerdeführer mache Übergriffe durch Dritte beziehungsweise eine Befürchtung, künftig solchen ausgesetzt zu sein, geltend. Dies sei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Gemäss dem Grundsatzurteil des Bundesverwaltungsgerichts BVGE 2008/4 seien die Sicherheits- und Justizbehörden der ARK grundsätzlich in der Lage und willens, den Einwohnern der vier Provinzen Schutz vor Verfolgung zu gewähren (m.H.a. E. 6.1-6. 7). Diese Einschätzung sei mit Urteil des Bundesverwaltungsgerichts E-3737/2015 vom 14. Dezember 2015 (als Referenzurteil publiziert) bestätigt worden und habe weiterhin Gültigkeit. Die Schutzgewährung erstrecke sich auch auf Bedrohungen, welche im Zusammenhang mit der Ehre stünden (m.H.a. Urteil des BVGer D-3292/2016 vom 9. November 2016 E. 5.4, BVGE 2008/4 und hinsichtlich den Voraussetzungen der Schutztheorie auf BVGE 2011/51, E. 7 f. m.w.H.). Es sei deshalb davon auszugehen, dass der Wille und die Fähigkeit der kurdischen Behörden, den Beschwerdeführer vor den geltend gemachten Bedrohungen zu schützen, heute nach wie vor gegeben sei. Aus den Akten ergäben sich auch keine konkreten Hinweise darauf, dass es in seinem spezifischen Fall nicht so wäre: Die Strafverfolgungsbehörden hätten nach dem Tötungsdelikt sofort Ermittlungen eingeleitet und die mutmasslichen Täter festgenommen. Einer der Täter, offenbar derjenige, der für den Mord verantwortlich gewesen sei, sei nach wie vor in Haft (m.H.a. A18, S. 9, 12; A26, S. 6, 11-12). Des Weiteren seien nach dem Tötungsdelikt die Stammesführer der beiden Familien - seiner und derjenigen seiner Ehefrau beziehungsweise der Täter - involviert worden. Der Stammesführer seines eigenen Stammes verfüge über gute Beziehungen zur regierenden Partei PDK (Partiya Demokrata Kurdistane; Demokratische Partei Kurdistan) und zum Stammesführer der Täterschaft (m.H.a. A26, S. 8). Bei dieser Sachlage sei davon auszugehen, dass er effektiv Zugang zur Schutzinfrastruktur seines Heimatstaates habe und ihm die Inanspruchnahme der Schutzinfrastruktur auch zumutbar sei. Er sei somit nicht auf den subsidiären Schutz der Schweiz angewiesen. Seine Einwände vermöchten diese Einschätzung nicht umzustossen. So habe er angeführt, er könne dieser Familie nicht vertrauen. Selbst wenn das Problem durch die Versöhnung auf Stammesbasis und die Ermittlungen durch die Strafverfolgungsbehörden gelöst worden sei, fühle er sich nicht sicher (m.H.a. A26, S. 12). Diesbezüglich sei jedoch darauf hinzuweisen, dass eine Garantie für langfristigen individuellen Schutz nicht verlangt werden könne (m.H.a. Entscheidungen und Mitteilungen der Schweizerischen Asylrekurskommission [EMARK] 2006/18, E.10.3.). Denn keinem Staat gelinge es, die absolute Sicherheit aller seiner Bürger jederzeit und überall zu garantieren (m.H.a. EMARK 1996/28, E.3c.). In der ersten Anhörung habe der Beschwerdeführer zu Protokoll gegeben, bei seinem ersten Gespräch mit der Polizei unmittelbar nach dem Tötungsdelikt habe die Polizei ihn gefragt, weshalb er sie nicht bereits früher über seine Probleme informiert habe; so wäre es ihr möglich gewesen, mehr Kontrollen durchzuführen (m.H.a. A 18, S. 12). Dies spreche klar dafür, dass der Schutzwille und die Schutzfähigkeit seitens der heimatlichen Behörden gewährt sei. Insgesamt seien die Vorbringen somit nicht asylrelevant. Die eingereichten Beweismittel vermöchten nichts zu ändern, zumal sie sich auf Sachverhalte bezögen, die in den vorherigen Erwägungen gar nicht in Frage gestellt würden. Bei offensichtlich fehlender Asylrelevanz könne darauf verzichtet werden, auf allfällige Unglaubhaftigkeitselemente in seinen Vorbringen einzugehen. Bezüglich der Wegweisung und insbesondere deren Vollziehbarkeit führt die Vorinstanz aus, es lägen keine landes- oder völkerrechtlichen Hindernisse vor, die den Vollzug der Wegweisung als unzulässig erscheinen liessen. Hinsichtlich der Zumutbarkeit des Wegweisungsvollzugs erwägt sie, die Konfliktlage im Irak zeichne sich durch eine grosse Volatilität und Dynamik aus, womit allgemeine Aussagen zur Sicherheits- und Menschenrechtslage rasch ihre Gültigkeit verlieren könnten. Zur aktuellen Lage in der ARK, woher der Beschwerdeführer stamme, sei festzuhalten, dass die Einnahme diverser Ortschaften im Zentralirak durch den sogenannten "Islamischen Staat" (IS) ab Juni 2014 zu einer grossen Anzahl Binnenvertriebener in der ARK geführt habe. Die Auswirkungen dieser Fluchtbewegungen auf die Sicherheits- und Versorgungslage in der ARK seien jedoch nicht derart gravierend, dass für die einheimische kurdische Bevölkerung generell von einer konkreten Gefährdung gesprochen werden könne. Die Lage in den angrenzenden Distrikten in den Provinzen Ninawa, Salah ad-Din und Diyala habe sich zudem dahingehend verändert, dass der Krieg gegen den IS als Territorialmacht von der irakischen Regierung inzwischen als beendet erklärt worden sei (m.H.a. Neue Zürcher Zeitung, Istanbul. Irak proklamiert das Ende des IS. 11.12.2017). Auch wenn nach wie vor das Risiko von terroristischen Anschlägen bestehe und sich die wirtschaftliche Lage im Nachgang des Unabhängigkeitsreferendums vom 25. September 2017 sowie aufgrund der Ereignisse in der Region verschärft und teilweise zu Protesten in der Bevölkerung geführt habe, herrsche in der ARK insgesamt keine Situation allgemeiner Gewalt. Zwar komme es in Teilen der ARK immer wieder zu bewaffneten Auseinandersetzungen mit Beteiligung ausländischer Streitkräfte, jedoch sei die Zahl der (Todes)Opfer unter der Zivilbevölkerung aufgrund von sicherheitsrelevanten Vorfällen verschiedenen Ursprungs in der ARK insgesamt als gering einzustufen (m.H.a. European Asylum Support Office. EASO Informationsbericht über das Herkunftsland Irak, Sicherheitslage. März 2019. S. 163/164). Die Sicherheitslage in der ARK gelte weiterhin als relativ stabil (m.H.a. UNHCR. UNHCR-Erwägungen zum Schutzbedarf von Personen, die aus dem Irak fliehen. Mai 2019. S. 26). Vor diesem Hintergrund erachte das SEM den Wegweisungsvollzug in die ARK als grundsätzlich zumutbar. Diese Einschätzung stehe im Einklang mit der Wegweisungspraxis des Bundesverwaltungsgerichts (m.H.a. Referenzurteil des BVGer E-3737/2015 E. 7. und u.a. die UrteileE-2036/2016 vom 21. November 2018, D-3669/2019 vom 14. Oktober 2019 und E-209/2017 vom 26. November 2019). Im vorliegenden Fall sprächen auch keine individuellen Gründe gegen die Zumutbarkeit des Wegweisungsvollzugs. Der Beschwerdeführer verfüge über eine ausreichende Schulbildung und über Berufserfahrung im Detailhandel, wobei er über mehrere Jahre ein eigenes Geschäft geführt habe (m.H.a. A18, S. 2-3). Damit sollte er in der Lage sein, in seinem Heimatstaat eine wirtschaftliche Lebensgrundlage aufzubauen, wie er es bereits vor der Ausreise getan habe. Mit seinen Eltern und zahlreichen erwachsenen Geschwistern ([...] Schwestern und [...] Brüder), fast alle in D._______ wohnhaft, sei auch ein familiäres Beziehungsnetz vorhanden, womit auch eine gesicherte Wohnsituation gegeben sein dürfte (m.H.a. A18, S. 5). Hinsichtlich allfälliger medizinischer Wegweisungsvollzugshindernissen hält das SEM fest, derzeit bestehe in fast allen Staaten der Welt das Risiko einer Infizierung mit SARS-CoV-2. Die blosse Möglichkeit einer Ansteckung damit stehe indessen für sich alleine der Zumutbarkeit des Wegweisungsvollzugs nicht entgegen. Vielmehr müssten im Einzelfall konkrete Hinweise darauf bestehen, dass die betroffene Person im Falle einer Rückkehr in den Heimatstaat in eine medizinische Notlage oder in eine existenzbedrohende Situation geraten würde. Solche konkreten Hinweise ergäben sich indessen vorliegend weder aus den Ausführungen des Beschwerdeführers noch aus den Akten. Somit erweise sich der Vollzug der Wegweisung auch aus medizinischer Sicht als zumutbar.</w:t>
      </w:r>
    </w:p>
    <w:p>
      <w:r>
        <w:rPr>
          <w:b/>
        </w:rPr>
        <w:t>E. 5.2</w:t>
      </w:r>
    </w:p>
    <w:p>
      <w:r>
        <w:t>Der Beschwerdeführer bringt in seiner Rechtsmitteleingabe im Wesentlichen den Sachverhalt nochmals vor und bemerkt, es seien den Protokollen keine Anzeichen für Zweifel daran zu entnehmen. Er verweist nochmals darauf, dass nach seiner Ausreise sein Vater und I.D. nochmals auf den Polizeiposten vorgeladen und gefragt worden seien, ob sich der Beschwerdeführer noch im Lande befinde. Mit Hinweis auf diverse Berichte bestreitet er sodann die von der Vorinstanz festgestellte Schutzfähigkeit und -willigkeit der heimatlichen Behörden. Bereits 2007 sei von teilweise schweren Misshandlungen in den kurdischen Gebieten durch dortige Sicherheitskräfte berichtet worden und in jüngerer Vergangenheit sei insbesondere die Unabhängigkeit der Justiz weiter unterminiert worden. So hätten Beobachter im Januar 2019 vom Rücktritt eines der letzten unabhängigen Richters im irakischen Kurdistan berichtet; dieser habe den Schritt damit begründet, dass der politische Einfluss auf die Justiz stark zugenommen habe und von Unabhängigkeit der Justiz keine Rede mehr sein könne. Zudem setze das kurdische Justizsystem zu einem grossen Teil auf Geständnisse, entsprechend sei der Zugang zur Rechtsstaatlichkeit in der ARK für den Einzelnen oft sehr schwierig. Fehden, wie der Beschwerdeführer sie geltend mache, seien in den kurdischen Gebieten des Iraks nach wie vor verbreitet, vermehrt im Süden des Landes, aber auch anderswo. Regelmässig sei der Schutz durch die offiziellen Sicherheitskräfte ungenügend bis nicht existent. Der Ehrbegriff habe in Stammesbräuchen einen hohen Wert, weshalb Fehden oft jahrelangoder über Generationen hinweg andauerten. Alle Schutzmechanismen hätten im Fall des Beschwerdeführers versagt, weshalb ihm nur die Flucht geblieben, und er auf internationalen Schutz angewiesen sei. Schutz habe er nur für einen bestimmten Zeitraum gehabt und auch die staatlichen Sicherheitskräfte, die zwar um Aufklärung gemüht gewesen seien, hätten als oberstes Interesse nur gehabt, die regelrechte Blutfehde zu verhindern. Nicht anders liesse sich ihre Sorge um eine Rache seitens des Beschwerdeführers deuten. Sie hätten sich offensichtlich nicht in der Lage gesehen den Beschwerdeführer genügend zu schützen oder seien diesbezüglich nicht willens gewesen. Der Beschwerdeführer als Entführer sei für die erlittene Schande mitverantwortlich, weshalb er keinen Schutz vor weiteren Vergeltungsaktionen geniesse. Daran ändere die Aussage, kein Staat könne die absolute Sicherheit aller Bürger jederzeit und überall garantieren, nichts, weil der Beschwerdeführer konkret keinen Schutz habe. Hinsichtlich der Zumutbarkeit des Wegweisungsvollzugs führt der Beschwerdeführer aus, die Sicherheitslage im Nordirak habe sich aus verschiedenen Gründen verschlechtert, ebenso die wirtschaftliche Lage. Sein Bruder, mit dem er den Laden geführt habe, habe den Nordirak inzwischen verlassen. Seine übrigen Verwandten seien aufgrund der Fehde verunsichert und weder willens noch in der Lage, ihn zu stützen. Zudem würde eine Rückkehr an den Ort des traumatischen Verlusts der Ehefrau eine zusätzliche Belastung bedeuten. Es lägen deshalb keine im Sinne der Rechtsprechung erforderlichen begünstigenden Faktoren vor. Schliesslich habe er sich trotz vergleichsweise kurzer Anwesenheit in der Schweiz vorbildlich rasch integriert, was die Beweismittel belegen würden.</w:t>
      </w:r>
    </w:p>
    <w:p>
      <w:r>
        <w:rPr>
          <w:b/>
        </w:rPr>
        <w:t>E. 6.1</w:t>
      </w:r>
    </w:p>
    <w:p>
      <w:r>
        <w:t>Es ist zu prüfen, ob der Beschwerdeführer zum Zeitpunkt seiner Ausreise aus dem Irak einer flüchtlingsrechtlich relevanten Verfolgung ausgesetzt war respektive ob ihm eine solche bei einer heutigen Rückkehr dorthin droht. Dies ist zu verneinen, das Bundesverwaltungsgericht schliesst sich der Würdigung der Vorinstanz an.</w:t>
      </w:r>
    </w:p>
    <w:p>
      <w:r>
        <w:rPr>
          <w:b/>
        </w:rPr>
        <w:t>E. 6.2</w:t>
      </w:r>
    </w:p>
    <w:p>
      <w:r>
        <w:t>Auf die ausführlichen und in jeder Hinsicht zutreffenden Erwägungen in der angefochtenen Verfügung (vgl. oben E. 5.1) kann vollumfänglich verwiesen werden. Ergänzend könnte sich auch die Frage nach der notwendigen hohen Wahrscheinlichkeit einer in naher Zukunft drohenden Gefährdung stellen. Aus den Aussagen des Beschwerdeführers ergibt sich nämlich, dass offenbar für die Asayesch - bei ihrem Rat, der Beschwerdeführer solle das Land verlassen - eher die Befürchtung im Vordergrund gestanden sei, der Beschwerdeführer könnte sich rächen, was den Konflikt zur Eskalation bringen könnte (vgl. u.a. A26 F71). Solchen Rachewillen verneint der Beschwerdeführer sowohl sich selbst als auch den Vater betreffend (vgl. ebd. sowie A18 F82). Auch hatte der Beschwerdeführer erklärt, das mangelnde Einverständnis des Stammes von N. zur Heirat habe einzig auf dem Alter von N. beruht, und nicht etwa, weil Verbindungen zwischen den beiden Stämmen nicht toleriert würden, vielmehr käme es auch sonst zu Heiraten zwischen den Stämmen (A26 F19, F38f.). Er gab insbesondere auch an, seinem Sohn und seiner Familie gehe es gut, und er fürchte auch nicht um das Leben seines Sohnes (vgl. u.a. A26 F7, A18 F88). Schliesslich berichtet er von keinen weiteren Bedrohungen nach dem Vorfall vom Frühjahr 2018, obwohl N. nebst den drei an der Tat beteiligten Brüdern noch weitere vier Brüder habe (vgl. ebd. F90). Er selbst gibt sodann auf die Frage, warum er zu wenig Schutz gehabt hätte, wenn er im Nordirak geblieben wäre oder ob das Problem nicht anders hätte gelöst werden können an, das Problem sei eigentlich schon gelöst, aber er habe sich nicht sicher gefühlt und kein Vertrauen mehr gehabt (vgl. ebd. F81). Unabhängig davon hat die Schutzinfrastruktur im vorliegenden Einzelfall gerade gut funktioniert. Weshalb sie bei der Rückkehr des Beschwerdeführers nicht wieder greifen sollte, erhellt nicht. Sowohl bei I.D. hat er unmittelbaren Schutz gefunden als auch bei den Asayesh, die ihn noch dazu gefragt hatten, weshalb er sich nicht vorher gemeldet habe. Sein Einwand, die Behörden seien nur daran interessiert gewesen, dass die Sache nicht weiter eskaliere geht fehl. Entsprechend seinen Angaben hätten sie unmittelbar nach der Tat Ermittlungen aufgenommen und die Täter wurden in Haft genommen. Das SEM verweist zu Recht darauf, dass sie den Beschwerdeführer gemäss seinen Aussagen noch gefragt hätten, weshalb er nicht früher um Schutz nachgesucht habe. Bereits dies zeigt den Schutzwillen an. Es erübrigt sich auf weitere Einwände einzugehen, da sie zu keiner anderen Gewichtung zu führen vermögen.</w:t>
      </w:r>
    </w:p>
    <w:p>
      <w:r>
        <w:rPr>
          <w:b/>
        </w:rPr>
        <w:t>E. 6.3</w:t>
      </w:r>
    </w:p>
    <w:p>
      <w:r>
        <w:t>Es ist zusammenfassend nicht ersichtlich, weshalb dem Beschwerdeführer nicht auch nach einer Rückkehr die Schutzinfrastruktur des Nordiraks zugänglich wäre oder ergänzend auch weitere Vermittlungsverhandlungen zwischen den Stämmen fruchten könnten. Das SEM hat zu Recht festgestellt, der Beschwerdeführer sei nicht auf den subsidiären Schutz der Schweiz angewiesen. Der Beschwerdeführer erfüllt die Flüchtlingseigenschaft demnach nicht und die Vorinstanz hat sein Asylgesuch zu Recht abgewiesen.</w:t>
      </w:r>
    </w:p>
    <w:p>
      <w:r>
        <w:rPr>
          <w:b/>
        </w:rPr>
        <w:t>E. 7</w:t>
      </w:r>
    </w:p>
    <w:p>
      <w:r>
        <w:t>Lehnt die Vorinstanz das Asylgesuch ab oder tritt sie darauf nicht ein, so verfügt sie in der Regel die Wegweisung aus der Schweiz und ordnet den Vollzug an; sie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jeweils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der Beschwerdeführer eine konkrete Gefahr ("real risk") dafür nachweisen oder glaubhaft machen könne, dass ihm im Fall einer Rückschiebung Folter oder unmenschliche Behandlung drohe (vgl. Urteil des EGMR Saadi gegen Italien 28. Februar 2008, Grosse Kammer 37201/06, §§ 124-127 m.w.H.).</w:t>
      </w:r>
    </w:p>
    <w:p>
      <w:r>
        <w:rPr>
          <w:b/>
        </w:rPr>
        <w:t>E. 8.2.2</w:t>
      </w:r>
    </w:p>
    <w:p>
      <w:r>
        <w:t>Dem Beschwerdeführer ist es nicht gelungen, eine flüchtlingsrechtlich relevante Gefährdung nachzuweisen oder glaubhaft zu machen, weshalb das flüchtlingsrechtliche Refoulementverbot vorliegend keine Anwendung findet. Unabhängig von den hohen Anforderungen an die Feststellung eines "real risk" kann sich der Beschwerdeführer nach einer Rückkehr in seinen Heimatstaat an seinen Stammesführer sowie insbesondere die nordirakischen Sicherheitsbehörden wenden, sollte er tatsächlich entsprechenden Schutzes bedürfen. Demnach ist er bei einer Rückkehr auch nicht mit beachtlicher Wahrscheinlichkeit einer nach Art. 3 EMRK oder Art. 1 FoK verbotenen Strafe oder Behandlung ausgesetzt. Auch die allgemeine Menschenrechtssituation in der ARK lässt den Wegweisungsvollzug zum heutigen Zeitpunkt nicht als unzulässig erscheinen (vgl. bereits BVGE 2008 sowie u.a. Urteil des BVGer E-5608/2018 vom 19. Dezember 2019 E. 7.2.4).</w:t>
      </w:r>
    </w:p>
    <w:p>
      <w:r>
        <w:rPr>
          <w:b/>
        </w:rPr>
        <w:t>E. 8.2.3</w:t>
      </w:r>
    </w:p>
    <w:p>
      <w:r>
        <w:t>Zusammenfassend hat das SEM den Vollzug der Wegweisung zutreffend als sowohl im Sinne der flüchtlingsrechtlichen als auch der menschenrechtlichen Bestimmungen für zulässig erachtet.</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Sicherheits- und Menschenrechtslage im Irak ist anerkanntermassen volatil, wie auch das SEM zutreffend festhält. Was die aktuelle Situation in der ARK betrifft, kann auf seine ausführlichen diesbezüglichen Erwägungen in der angefochtenen Verfügung (vgl. ebd. III, Ziff. 2) mit Hinweisen auf die bundesverwaltungsgerichtliche Rechtsprechung verwiesen werden. Der Beschwerdeführer vermag nicht darzutun, inwiefern er persönlich in einer Weise betroffen wäre, die als existenzgefährdend zu würdigen wäre. Zwar kommt es, wie er zutreffend einbringt, in der Grenzregion zur Türkei immer wieder zu gewaltsamen Auseinandersetzungen, gerade jüngst wurde erneut von einer grösseren Offensive der Türkei im Nordirak berichtet (vgl. u.a. "Türkei startet neue Offensive gegen PKK im Nordirak - und verfolgt damit auch innenpolitische Ziele", Neue Zürcher Zeitung vom 15. Juni 2020). Es ist jedoch nach wie vor davon auszugehen, die Angriffe richteten sich vorab gegen Stellungen der PKK (Partiya Karkeren Kurdistane; Kurdische Arbeiterpartei), insbesondere in den Grenzgebieten zu Syrien (Sindjar-Gebirge) und zum Iran (Kandil-Gebirge, wo sich das Hauptquartier der PKK befindet. Dabei wird auch von Zivilpersonen berichtet, die in grenznahen Dörfern von den türkischen Angriffen betroffen worden seien. Es ist aber auch heute nicht davon auszugehen, auch die in Städten wie D._______ lebende Zivilbevölkerung sei in den Fokus der Angriffe geraten.</w:t>
      </w:r>
    </w:p>
    <w:p>
      <w:r>
        <w:rPr>
          <w:b/>
        </w:rPr>
        <w:t>E. 8.3.3</w:t>
      </w:r>
    </w:p>
    <w:p>
      <w:r>
        <w:t>In konstanter Praxis geht das Gericht sodann davon aus, dass ein Wegweisungsvollzug in die ARK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E. 7.4.5). 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 Beim Beschwerdeführer sind offensichtlich begünstigende Faktoren gegeben, wie das SEM ebenfalls zutreffend erwägt. Auf diese Begründung kann verwiesen werden. Ergänzend kann festgehalten werden, dass der Beschwerdeführer in D._______, wo er bis zu seiner Ausreise lebte, nicht nur über ein grosses nahes familiäres Beziehungsnetz verfügt, sondern auch über eine besondere Nähe zum Stammesführer I.D., der seinerseits über enge Verbindungen zur PDK und auch sonst zu einflussreichen Personen verfüge (vgl. A26 F49). Auch sei die wirtschaftliche Situation seiner Familie gut (vgl. ebd. F11). Gemäss seinen Angaben steht er nach wie vor mit seinen Angehörigen in Kontakt, mit seinem Sohn telefoniere er täglich (vgl. ebd. F8). Es gibt auch keinen Grund anzunehmen, der Beschwerdeführer könne in D._______ nicht auch beruflich wieder Fuss fassen, nachdem er mehrere Jahre lang selbständig ein Geschäft geführt habe; dass er dieses verkauft habe und der Bruder, mit dem er es geführt habe, nicht mehr im Herkunftsland lebe, ändern daran nichts. Es ist aber auch davon auszugehen, dass ihm die Erfahrung als (...) in der Schweiz von Nutzen sein kann. Weder der Einwand, er habe sich in der Schweiz gut integriert noch jener, es würde zu einer grossen Belastung führen, wenn er an den Ort des Traumas (den Mord an seiner Ehefrau) zurückkehren müsste, vermögen entscheidend ins Gewicht zu fallen. Es ist zwar zu begrüssen, dass sich der Beschwerdeführer um Integration im schweizerischen Umfeld bemühe, und ihm dies auch gelinge. Demgegenüber kann nach so kurzer Zeit aber offensichtlich nicht davon ausgegangen werden, der Vollzug der Wegweisung des längst erwachsenen Beschwerdeführers führe zu einer Entwurzelung (vgl. zu dieser vorab für Kinder und Jugendliche entwickelten Praxis insbes. BVGE 2009/28 E. 9.3 ff. und 2009/51 E. 5.6 m.w.H.). Auch wenn verständlich ist, dass es dem Beschwerdeführer schwerfallen könnte, an den Ort zurückzukehren, wo seine Ehefrau umgebracht worden sei, ergibt sich daraus offensichtlich keine konkrete Gefährdung, zumal er zu seinen engen Familienangehörigen zurückkehren kann, die ihm Halt geben werden. Der pauschale Hinweis in der Beschwerde, diese seien zu ängstlich, um seine Rückkehr zu begrüssen, überzeugt, nicht zuletzt angesichts des vorhandenen Schutzes, nicht. Schliesslich dürfte der Umstand, dass der Beschwerdeführer zu seinem kleinen Sohn zurückkehren kann, den er sehr vermisse, ihm erleichtern, sich in D._______ wieder einzuleben.</w:t>
      </w:r>
    </w:p>
    <w:p>
      <w:r>
        <w:rPr>
          <w:b/>
        </w:rPr>
        <w:t>E. 8.3.4</w:t>
      </w:r>
    </w:p>
    <w:p>
      <w:r>
        <w:t>Nach dem Gesagten erweist sich der Vollzug der Wegweisung auch als zumutbar.</w:t>
      </w:r>
    </w:p>
    <w:p>
      <w:r>
        <w:rPr>
          <w:b/>
        </w:rPr>
        <w:t>E. 8.4</w:t>
      </w:r>
    </w:p>
    <w:p>
      <w:r>
        <w:t>Der Beschwerdeführer verfügt über eine authentische Identitätskarte. Im Übrigen obliegt es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Behandlung des Gesuches um Verzicht auf die Erhebung eines Kostenvorschusses erübrigt sich mit dem vorliegenden Entscheid in der Sache.</w:t>
      </w:r>
    </w:p>
    <w:p>
      <w:r>
        <w:rPr>
          <w:b/>
        </w:rPr>
        <w:t>E. 10.2</w:t>
      </w:r>
    </w:p>
    <w:p>
      <w:r>
        <w:t>Die Verfahrenskosten sind in der Regel der unterliegenden Partei aufzuerlegen (Art. 63 Abs. 1 VwVG). Das Gesuch um Gewährung der unentgeltlichen Prozessführung im Sinne von Art. 65 Abs. 1 VwVG ist abzuweisen, da sich die Beschwerdebegehren im massgeblichen Zeitpunkt als aussichtslos erwiesen haben, zumal bereits eine summarische Prüfung der Aktenlage ergab, dass die Umstände im konkreten Fall gerade für einen vorhandenen Schutzwillen und eine hinreichende Schutzfähigkeit der zuständigen heimatlichen Behörden sprechen, während die Einwände in der Beschwerde, hauptsächlich beruhend auf allgemeinen Berichten, die gerade nichts mit dem Einzelfall zu tun haben, kaum Aussicht auf Erfolg zeigten. Auch, dass unter dem Aspekt einer allfälligen konkreten Gefährdung begünstigende Umstände vorliegen würden, durfte bereits aus einer summarischen Prüfung der Akten geschlossen werden. Demnach sind die Verfahrenskosten dem Beschwerdeführer aufzuerlegen. Sie sind auf Fr. 750.- festzusetzen (Art. 1 - 3 des Reglements vom 21. Februar 2008 über die Kosten und Entschädigungen vor dem Bundesverwaltungsgericht [VGKE, SR 173.320.2]).</w:t>
      </w:r>
    </w:p>
    <w:p>
      <w:r>
        <w:rPr>
          <w:b/>
        </w:rPr>
        <w:t>E. 10.3</w:t>
      </w:r>
    </w:p>
    <w:p>
      <w:r>
        <w:t>Das Gesuch um Einsetzung des mandatierten Rechtsvertreters als unentgeltlicher Rechtsbeistand ist mangels Gewährung der unentgeltlichen Prozessführung abzuweisen (Art. 110a Abs. 1 aAsylG).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