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E-3322/2024 vom 23. Mai 2024</w:t>
      </w:r>
    </w:p>
    <w:p>
      <w:r>
        <w:t>Bundesverwaltungsgericht, 2024-05-23, DE</w:t>
      </w:r>
    </w:p>
    <w:p>
      <w:r>
        <w:rPr>
          <w:b/>
        </w:rPr>
        <w:t xml:space="preserve">Quelle: </w:t>
      </w:r>
      <w:r>
        <w:t>https://mcp.opencaselaw.ch/entscheid/bvger_E-3322_2024_d20240523</w:t>
      </w:r>
    </w:p>
    <w:p>
      <w:r>
        <w:t>FR: TAF E-3322/2024 du 23 mai 2024</w:t>
      </w:r>
    </w:p>
    <w:p>
      <w:r>
        <w:t>IT: TAF E-3322/2024 del 23 maggio 2024</w:t>
      </w:r>
    </w:p>
    <w:p>
      <w:pPr>
        <w:pStyle w:val="Heading2"/>
      </w:pPr>
      <w:r>
        <w:t>Regeste</w:t>
      </w:r>
    </w:p>
    <w:p>
      <w:r>
        <w:t>Flughafenverfahren (vorl&amp;auml;ufige Verweigerung der Einreise in die Schweiz und Zuweisung eines Aufentha | Revision des Urteils E-3195/2024 vom 23.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Verfahrenskosten von Fr. 2'000.- werden dem Gesuchsteller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Gesuchsteller, das SEM und die zuständige kantonale Behörde. Die vorsitzende Richterin: Die Gerichtsschreiberin: Regina Derrer Janine Sert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