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E-3322/2010 vom 29. Juni 2010</w:t>
      </w:r>
    </w:p>
    <w:p>
      <w:r>
        <w:t>Bundesverwaltungsgericht, 2010-06-29, DE</w:t>
      </w:r>
    </w:p>
    <w:p>
      <w:r>
        <w:rPr>
          <w:b/>
        </w:rPr>
        <w:t xml:space="preserve">Quelle: </w:t>
      </w:r>
      <w:r>
        <w:t>https://mcp.opencaselaw.ch/entscheid/bvger_E-3322_2010</w:t>
      </w:r>
    </w:p>
    <w:p>
      <w:r>
        <w:t>FR: TAF E-3322/2010 du 29 juin 2010</w:t>
      </w:r>
    </w:p>
    <w:p>
      <w:r>
        <w:t>IT: TAF E-3322/2010 del 29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abgefasst. Aus prozessökonomischen Gründen wurde vorliegend auf eine Rückweisung der englischsprachigen Beschwerde zur Übersetzung in eine Amtssprache verzichtet, da das sinngemäss gestellte Rechtsbegehren verständlich sowie begründet ist. Sodann ergeht der Entscheid des Bundesverwaltungsgerichts in deutscher Sprache (vgl. Art. 33a Abs. 2 VwVG i.V.m. Art. 6 AsylG).</w:t>
      </w:r>
    </w:p>
    <w:p>
      <w:r>
        <w:rPr>
          <w:b/>
        </w:rPr>
        <w:t>E. 1.3</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am 28. April 2010 bei der Schweizer Botschaft in Colombo und am 10. Mai 2010 beim Bundesverwaltungsgericht eingegangene Beschwerde rechtzeitig erfolgt ist.</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In der angefochtenen Verfügung wird ausgeführt, der Beschwerdeführer begründe sein Asylgesuch im Wesentlichen mit der rund elfmonatigen Haft, in welcher er misshandelt und schliesslich am 29. April 2009 ohne Anklage freigelassen worden sei. Ferner mache er geltend, der CID habe seine Identitätskarte beschlagnahmt. Dazu sei festzustellen, dass der Krieg zwischen der srilankischen Regierung und der separatistischen LTTE im Mai 2009 mit der Niederlage der LTTE zu Ende gegangen sei. Damit befinde sich das Land erstmals seit 1983 wieder unter Regierungskontrolle. Die Sicherheits- und Menschenrechtslage sei zwar noch nicht befriedigend und präsentiere sich regional unterschiedlich. Insbesondere sei aber festzustellen, dass die Anzahl von Gewaltereignissen sowie Entführungen und "Killings" erheblich zurückgegangen sei. Weiter führt das BFM aus, der Beschwerdeführer sei weder politisch aktiv, noch Mitglied der LTTE gewesen. Er habe die LTTE einzig mit Lebensmitteln und Unterkunft unterstützt, was gemäss den eigenen Angaben des Beschwerdeführers in seiner Heimatregion üblich gewesen sei. Damit habe er sich aber keineswegs politisch exponiert. Aus den Akten sei kein Zusammenhang zwischen dieser Unterstützung und der Festnahme in C._______ ersichtlich. Es sei somit davon auszugehen, dass es sich bei der Festnahme und den beiden Besuchen des CID um Schikanierungen gehandelt habe, welche viele in Colombo wohnhafte Tamilen über sich hätten ergehen lassen müssen beziehungsweise immer noch müssen. Dass der Beschwerdeführer nach der willkürlichen Verhaftung während elf (recte: zehn) Monaten festgehalten worden sei, sei nicht legitim. Obschon anzunehmen sei, dass der Beschwerdeführer während der Haft unrechtmässig behandelt worden sei, seien diese Ereignisse für die Erteilung einer Einreisebewilligung nicht relevant, zumal die Bewilligung der Einreise in die Schweiz nicht dem Ausgleich vergangenen Unrechts diene. Würde tatsächlich etwas gegen die Person des Beschwerdeführers vorliegen, wäre er erneut verhaftet worden und die Behörden hätten sich nicht mit der blossen Beschlagnahmung der Identitätskarte begnügt. Falls die Schikanen durch den CID nicht mehr zumutbar seien, sei darauf zu verweisen, dass sich diese Nachteile aus lokal oder regional beschränkten Verfolgungsmassnahmen ableiten würden. Diesen könne sich der Beschwerdeführer durch einen Wegzug in einen anderen Teil Sri Lankas entziehen. In Anbetracht dieser Ausführungen sowie aufgrund des Umstands, dass der Beschwerdeführer kein Gefährdungsprofil aufweise, das im heutigen Zeitpunkt mit erheblicher Wahrscheinlichkeit auf eine Verfolgung schliessen liesse, seien die geltend gemachten Vorbringen nicht einreiserelevant.</w:t>
      </w:r>
    </w:p>
    <w:p>
      <w:r>
        <w:rPr>
          <w:b/>
        </w:rPr>
        <w:t>E. 5.2</w:t>
      </w:r>
    </w:p>
    <w:p>
      <w:r>
        <w:t>In der Rechtsmitteleingabe macht der Beschwerdeführer geltend, sein Gesuch sei zu Unrecht abgewiesen worden. Er habe seine Identitätskarte noch nicht zurückerhalten. Seit seiner Entlassung könne er in Colombo kein normales Leben mehr führen und nach Jaffna könne er auch nicht zurückkehren.</w:t>
      </w:r>
    </w:p>
    <w:p>
      <w:r>
        <w:rPr>
          <w:b/>
        </w:rPr>
        <w:t>E. 5.3</w:t>
      </w:r>
    </w:p>
    <w:p>
      <w:r>
        <w:t>Zunächst ist festzustellen, dass der Beschwerdeführer ohne Anklage und ohne Auflage aus der Haft entlassen wurde, sich anschliessend in eine Loge in Colombo begab und dort registrieren liess. Zudem liess er sich im Januar 2010 einen Reisepass ausstellen. In Anbetracht der bedingungslosen Freilassung des Beschwerdeführers sowie seiner Kontakte mit den heimatlichen Behörden ist davon auszugehen, dass die Behörden den Beschwerdeführer nicht mehr der Zusammenarbeit mit der LTTE verdächtigten. Es ist daraus vielmehr zu schliessen, dass die heimatlichen Behörden kein ernsthaftes Interesse an einer Verfolgung des Beschwerdeführers haben. Weiter macht der Beschwerdeführer geltend, er sei seit seiner Haftentlassung Ende April 2009 bis heute zweimal vom CID kontrolliert worden, wobei diese seine Identitätskarte konfisziert hätten. Es ist nicht in Abrede zu stellen, dass die allgemeine Situation für die Tamilen insbesondere im Norden und Osten Sri Lankas nach dem offiziellen Ende des langjährigen Bürgerkriegs im Mai 2009 schwierig war und auch heute noch ist (vgl. etwa Schweizerische Flüchtlingshilfe, Asylsuchende aus Sri Lanka, Position der Schweizerischen Flüchtlingshilfe SFH, Bern, 8. Dezember 2009). Nach den Erkenntnissen des Bundesverwaltungsgerichts hat sich die allgemeine Sicherheitslage der Tamilen aber im letzten halben Jahr sukzessive verbessert. Sie können sich im Land freier bewegen, die Strasse A-9 wurde wieder dem Verkehr übergeben und das restriktive Passsystem für Aus- und Einreisen nach Jaffna wurde abgeschafft. Sodann wurde die Polizei- und Armeepräsenz insbesondere im Osten erheblich reduziert. Im Grossraum Colombo sind die Sicherheitskräfte nach wie vor präsent und führen entsprechende Kontrollen durch. Diese sogenannten "Anti-Terrormassnahmen" werden im Raum Colombo - unbesehen der Rügen des Supreme Courts - weiterhin als repressives Instrument gegen befürchtete Infiltrationen tamilischer Separatisten angewendet. Solchen als blosse Schikanen zu qualifizierenden Massnahmen, denen ein nicht unwesentlicher Teil der tamilischen Bevölkerung im Grossraum Colombo ausgesetzt ist, kommt indes aufgrund mangelnder Intensität kein Verfolgungscharakter im Sinne von Art. 3 AsylG zu. Der Beschwerdeführer vermag deshalb aus den vergangenen sowie allenfalls befürchteten weiteren Kontrollen durch die srilankischen Behörden nichts zu seinen Gunsten abzuleiten. Schliesslich vermag der Beschwerdeführer mit dem blossen Wiederholen seiner Asylvorbringen nicht substanziiert darzutun, inwiefern das BFM zu Unrecht geschlossen habe, er sei nicht schutzbedürftig im Sinne des AsylG und ihm sei die Einreise zu Unrecht nicht bewilligt worden. Um Wiederholungen zu verweiden,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einhergehenden, begründete Verfolgungsfurcht darzulegen. Damit ist ihm ein weiterer Verbleib in seinem Heimatland zumutbar. Das BFM hat demnach dem Beschwerdeführer zu Recht die Einreise in die Schweiz nicht bewilligt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