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E-331/2016 vom 21. März 2017</w:t>
      </w:r>
    </w:p>
    <w:p>
      <w:r>
        <w:t>Bundesverwaltungsgericht, 2017-03-21, DE</w:t>
      </w:r>
    </w:p>
    <w:p>
      <w:r>
        <w:rPr>
          <w:b/>
        </w:rPr>
        <w:t xml:space="preserve">Quelle: </w:t>
      </w:r>
      <w:r>
        <w:t>https://mcp.opencaselaw.ch/entscheid/bvger_E-331_2016</w:t>
      </w:r>
    </w:p>
    <w:p>
      <w:r>
        <w:t>FR: TAF E-331/2016 du 21 mars 2017</w:t>
      </w:r>
    </w:p>
    <w:p>
      <w:r>
        <w:t>IT: TAF E-331/2016 del 21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bildet einzig die Frage der Flüchtlingseigenschaft des Beschwerdeführers. Im Asyl- und Wegweisungspunkt wird die Verfügung nicht angefochten und der Wegweisungsvollzug ist nicht mehr zu prüfen, nachdem die Vorinstanz den Beschwerdeführer wegen Unzumutbarkeit des Vollzugs der Wegweisung vorläufig aufgenommen hat.</w:t>
      </w:r>
    </w:p>
    <w:p>
      <w:r>
        <w:rPr>
          <w:b/>
        </w:rPr>
        <w:t>E. 4</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5.1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ist nachzuweisen oder zumindest glaubhaft zu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 BVGE 2012/5 E. 2.2).</w:t>
      </w:r>
    </w:p>
    <w:p>
      <w:r>
        <w:rPr>
          <w:b/>
        </w:rPr>
        <w:t>E. 5.3</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6.1</w:t>
      </w:r>
    </w:p>
    <w:p>
      <w:r>
        <w:t>Die Vorinstanz gelangt in der angefochtenen Verfügung zum Schluss, die Vorbringen des Beschwerdeführers hielten den Anforderungen an das Glaubhaftmachen gemäss Art. 7 AsylG nicht stand. Angesichts seiner realitätsfremden und unsubstantiierten Vorbringen könne ihm nicht geglaubt werden, dass er Eritrea in der geltend gemachten Art und Weise und aus den angeführten Gründen verlassen habe. Namentlich sei nicht nachvollziehbar, dass eine verletzte Person, die von Wächtern mit Schusswaffen verfolgt werde, erst nach zwei Stunden eingeholt und festgenommen werde. Weiter seien die Vorbringen zu seiner Flucht aus dem Gefängnis ausgesprochen schemenhaft und enthielten kaum Realkennzeichen. Konkretisierenden Fragen sei er ausgewichen und habe diese in sehr allgemeiner Art und Weise beantwortet, wobei seine Schilderungen nicht den Eindruck erweckt hätten, als handle es sich dabei um persönlich erlebte Ereignisse von einschneidendem Charakter. Es dränge sich der Schluss auf, dass er schon viel früher als behauptet aus Eritrea ausgereist sei. Weiter müsse bezweifelt werden, dass der Beschwerdeführer Angehöriger (...) sei. Seine Vorbringen diesbezüglich seien als völlig unsubstantiiert einzustufen, zumal er auch zugegeben habe "keine Ahnung von dieser Glaubensgemeinschaft zu haben". Ferner habe er sich widersprüchlich über die Festnahme seines Vaters und dessen Tod geäussert, weshalb ernsthafte Zweifel an seinen Ausführungen diesbezüglich bestünden.</w:t>
      </w:r>
    </w:p>
    <w:p>
      <w:r>
        <w:rPr>
          <w:b/>
        </w:rPr>
        <w:t>E. 6.2</w:t>
      </w:r>
    </w:p>
    <w:p>
      <w:r>
        <w:t>Der Beschwerdeführer rügt in der Rechtsmitteleingabe, die Vorinstanz habe den Massstab des Glaubhaftmachens nicht richtig angewendet und verletze damit Bundesrecht. Die vorinstanzliche Beweiswürdigung ist indes nicht zu beanstanden. In der angefochtenen Verfügung wird im Einzelnen dargelegt, aus welchen Gründen die Vorbringen des Beschwerdeführers nicht nachvollziehbar, realitätsfremd, schemenhaft sowie unsubstantiiert und damit insgesamt nicht glaubhaft sind. Was in der Rechtsmitteleingabe dagegen vorgebracht wird, ist nicht geeignet, die Aussagen in einem anderen Licht erscheinen zu lassen. Die Vorinstanz erachtet die geltend gemachte zweistündige Flucht des verletzten Beschwerdeführers bis zu dessen Inhaftierung als realitätsfremd. Dazu hält der Beschwerdeführer in der Rechtsmitteleingabe fest, er habe die Verletzung anlässlich der Befragungen nicht genauer beschrieben, weshalb seine Angaben durchaus zutreffen könnten. Indes unterlässt er es auch auf Beschwerdestufe, seine Verletzungen zu substantiieren, mithin gelingt es ihm nicht, die diesbezüglichen Unstimmigkeiten auszuräumen. Sodann ist es durchaus realitätsfremd, dass ein verletzter Mann, auch wenn er unter Stress ist, sich während zwei Stunden rennend bewaffneten Soldaten entziehen kann. Ebenfalls entgegen seinen Ausführungen ist davon auszugehen, dass Soldaten nicht viel Zeit benötigen, um sich für die Verfolgung eines flüchtigen Gefangenen zu organisieren, gehört dies doch für sie zu einer routinierten Alltagssituation. Weiter ist festzuhalten, dass es beim Vortragen der Asylvorbringen vorwiegend um das Wiedergeben von selbst Erlebtem geht und insoweit vom Beschwerdeführer ohne weiteres übereinstimmende, substantiierte und mit Realkennzeichen versehene Aussagen erwartet werden dürfen. Sodann vermag der Beschwerdeführer mit dem Wiederholen der Ausführungen zu seiner Flucht aus dem Gefängnis und dem Zitieren einzelner Protokollstellen, die von der Vorinstanz festgestellten Unstimmigkeiten nicht zu entkräften. Schliesslich legt der Beschwerdeführer mit dem Wiederholen des aktenkundigen Sachverhalts und dem Festhalten am Wahrheitsgehalt seiner Vorbringen nicht dar, inwiefern die Vorinstanz zu Unrecht auf Unglaubhaftigkeit der Vorbringen geschlossen hat. Die Rüge erweist sich als unzutreffend.</w:t>
      </w:r>
    </w:p>
    <w:p>
      <w:r>
        <w:rPr>
          <w:b/>
        </w:rPr>
        <w:t>E. 7.1</w:t>
      </w:r>
    </w:p>
    <w:p>
      <w:r>
        <w:t>In der Rechtsmitteleingabe macht der Beschwerdeführer weiter geltend, aufgrund seiner illegalen Ausreise sei er als Flüchtling gestützt auf Art. 54 AsylG anzuerkennen.</w:t>
      </w:r>
    </w:p>
    <w:p>
      <w:r>
        <w:rPr>
          <w:b/>
        </w:rPr>
        <w:t>E. 7.2</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(Referenzurteil des BVGer D-7898/2015 vom 30. Januar 2017 E. 5.2). Da allein aufgrund einer illegalen Ausreise aus Eritrea keine begründete Furcht vor asylrechtlich beachtlicher Verfolgung angenommen werden kann (ausführlich dazu Referenzurteil des BVGer D-7898/2015 vom 30. Januar 2017, E. 4.6-5.1), kann vorliegend offen bleiben, ob der Beschwerdeführer sein Heimatland illegal verlassen hat.</w:t>
      </w:r>
    </w:p>
    <w:p>
      <w:r>
        <w:rPr>
          <w:b/>
        </w:rPr>
        <w:t>E. 7.3</w:t>
      </w:r>
    </w:p>
    <w:p>
      <w:r>
        <w:t>Was die Anerkennung der Flüchtlingseigenschaft betrifft, muss eine asylsuchende Person folglich zusätzliche Anknüpfungspunkte nachweisen oder zumindest glaubhaft machen (Art. 7 Abs. 1 AsylG), die sie in den Augen der heimatlichen Behörden als missliebige Person erscheinen lassen. Da die Ausführungen des Beschwerdeführers - wie bereits dargelegt - nicht glaubhaft sind, er also nicht als Deserteur oder Refraktär gelten kann und er neben der (illegalen) Ausreise keine zusätzlichen Anknüpfungspunkte für eine Verschärfung seines Profils aufweist, ist vorliegend nicht von einer asylrechtlich beachtlichen Verfolgung auszugehen.</w:t>
      </w:r>
    </w:p>
    <w:p>
      <w:r>
        <w:rPr>
          <w:b/>
        </w:rPr>
        <w:t>E. 7.4</w:t>
      </w:r>
    </w:p>
    <w:p>
      <w:r>
        <w:t>Zusammenfassend ist festzuhalten, dass der Beschwerdeführer weder Fluchtgründe noch subjektive Nachfluchtgründe nachweisen oder glaubhaft machen kann und die Vorinstanz die Flüchtlingseigenschaft des Beschwerdeführers zu Recht verneint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(vgl. BVGE 2009/50 E. 9 S. 733). Die Wegweisung wurde zu Recht angeordnet.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Zwischenverfügung vom 6. Oktober 2016 wurde das Gesuch um Gewährung der unentgeltlichen Prozessführung und Beiordnung eines Rechtsbeistandes abgewiesen.</w:t>
      </w:r>
    </w:p>
    <w:p>
      <w:r>
        <w:rPr>
          <w:b/>
        </w:rPr>
        <w:t>E. 10.2</w:t>
      </w:r>
    </w:p>
    <w:p>
      <w:r>
        <w:t>Am 24. Oktober 2016 ersuchte der Beschwerdeführer wiedererwägungsweise um Gutheissung des Gesuchs um Gewährung der unentgeltlichen Prozessführung.</w:t>
      </w:r>
    </w:p>
    <w:p>
      <w:r>
        <w:rPr>
          <w:b/>
        </w:rPr>
        <w:t>E. 10.3</w:t>
      </w:r>
    </w:p>
    <w:p>
      <w:r>
        <w:t>Wie sich aus den vorstehenden Erwägungen ergibt, erweisen sich die Begehren des Beschwerdeführers als aussichtslos und auch die weiteren Ausführungen in der Eingabe vom 24. Oktober 2016 führten nicht zu einer anderen Einschätzung. Es besteht daher keine Veranlassung wiedererwägungsweise auf die Zwischenverfügung vom 6. Oktober 2016 zurückzukommen. Der entsprechende Antrag ist abzuweisen. Demnach sind die Kosten des vorliegenden Verfahrens dem Beschwerdeführer aufzuerlegen (Art. 63 Abs. 1 VwVG) und auf insgesamt Fr. 600.- festzusetzen (Art. 1-3 des Reglements vom 21. Februar 2008 über die Kosten und Entschädigungen vor dem Bundesverwaltungsgericht [VGKE, SR 173.320.2]). Der geleistete Kostenvorschuss in der Höhe von Fr. 600.-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