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E-3319/2022 vom 11. August 2022</w:t>
      </w:r>
    </w:p>
    <w:p>
      <w:r>
        <w:t>Bundesverwaltungsgericht, 2022-08-11, DE</w:t>
      </w:r>
    </w:p>
    <w:p>
      <w:r>
        <w:rPr>
          <w:b/>
        </w:rPr>
        <w:t xml:space="preserve">Quelle: </w:t>
      </w:r>
      <w:r>
        <w:t>https://mcp.opencaselaw.ch/entscheid/bvger_E-3319_2022</w:t>
      </w:r>
    </w:p>
    <w:p>
      <w:r>
        <w:t>FR: TAF E-3319/2022 du 11 août 2022</w:t>
      </w:r>
    </w:p>
    <w:p>
      <w:r>
        <w:t>IT: TAF E-3319/2022 del 11 agosto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Beschwerden sind frist- und formgerecht eingereicht worden. Die Beschwerdeführer haben an den Verfahren vor der Vorinstanz teilgenom- men, sind durch die angefochtenen Verfügungen besonders berührt und haben ein schutzwürdiges Interesse an deren Aufhebung beziehungsweise Änderung. Sie sind daher zur Einreichung der Beschwerden legitimiert (Art. 105 und Art. 108 Abs. 1 AsylG; Art. 48 Abs. 1 sowie Art. 52 Abs. 1 VwVG). Auf die Beschwerden ist somit einzutreten, zumal das Ergreifen eines Rechtsmittels ein relativ höchstpersönliches Recht ist, welches von den beiden zweifellos urteilsfähigen minderjährigen Beschwerdeführern auch selbst ausgeübt werden kann.</w:t>
      </w:r>
    </w:p>
    <w:p>
      <w:r>
        <w:rPr>
          <w:b/>
        </w:rPr>
        <w:t>E. 2</w:t>
      </w:r>
    </w:p>
    <w:p>
      <w:r>
        <w:t>Die Kognition des Bundesverwaltungsgerichts und die zulässigen Rügen richten sich im Asylbereich nach Art. 106 Abs. 1 AsylG, im Bereich des Aus- länderrechts nach Art. 49 VwVG (vgl. BVGE 2014/26 E. 5).</w:t>
      </w:r>
    </w:p>
    <w:p>
      <w:r>
        <w:t>E-3319/2022 und E-3320/2022 Seite 5</w:t>
      </w:r>
    </w:p>
    <w:p>
      <w:r>
        <w:rPr>
          <w:b/>
        </w:rPr>
        <w:t>E. 3</w:t>
      </w:r>
    </w:p>
    <w:p>
      <w:r>
        <w:t>Aufgrund des engen sachlichen und persönlichen Zusammenhangs der beiden Asylverfahren in sachverhaltlicher und prozessualer Hinsicht, des einheitlichen Ausgangs der beiden Beschwerdeverfahren und aus prozess- ökonomischen Gründen werden die Beschwerdeverfahren E-3319/2022 und E-3320/2022 vereinigt. Mit dem vorliegenden gemeinsamen Urteil wird daher über beide Beschwerden gleichzeitig befunden. Das Vorgehen rechtfertigt sich auch deshalb, weil das SEM die beiden Asylverfahren be- reits koordiniert geführt hat.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 Damit wird der im Fliesstext der Beschwer- den (dort Ziff. II/2.2) gestellte Antrag auf Einräumung des Replikrechts hin- fällig.</w:t>
      </w:r>
    </w:p>
    <w:p>
      <w:r>
        <w:rPr>
          <w:b/>
        </w:rPr>
        <w:t>E. 5</w:t>
      </w:r>
    </w:p>
    <w:p>
      <w:r>
        <w:t>Den identischen Anträgen, wonach die Beschwerdeführer im Falle bereits durchgeführter Datenweitergaben mittels separater Verfügungen darüber zu informieren seien, ist keine Folge zu leisten. Die Anträge werden weder substanzliiert noch konkretisiert, und die bestehenden Akten enthalten je- denfalls keine Hinweise auf eine Bekanntgabe von in Art. 97 AsylG erwähn- ten Personendaten gegenüber der zuständigen ausländischen Behörde.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E-3319/2022 und E-3320/2022 Seite 6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6.2</w:t>
      </w:r>
    </w:p>
    <w:p>
      <w:r>
        <w:t>Lehnt das SEM das Asylgesuch ab oder tritt es darauf nicht ein, so verfügt es in der Regel die Wegweisung aus der Schweiz und ordnet den Vollzug an; es berücksichtigt dabei den Grundsatz der Einheit der Familie (Art. 44 AsylG).</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w:t>
      </w:r>
    </w:p>
    <w:p>
      <w:r>
        <w:t>E-3319/2022 und E-3320/2022 Seite 7 wenn der strikte Beweis möglich ist, und andernfalls wenigstens glaubhaft zu machen (vgl. BVGE 2011/24 E. 10.2 m.w.H.).</w:t>
      </w:r>
    </w:p>
    <w:p>
      <w:r>
        <w:rPr>
          <w:b/>
        </w:rPr>
        <w:t>E. 7.1</w:t>
      </w:r>
    </w:p>
    <w:p>
      <w:r>
        <w:t>Zur Begründung des ablehnenden Asylentscheids qualifizierte das SEM die von den Beschwerdeführern geltend gemachten Verfolgungsvor- bringen einenteils als den Anforderungen von Art. 7 AsylG an die Glaub- haftmachung eines Asyl begründenden Sachverhalts und andernteils jenen von Art. 3 AsylG an die flüchtlingsrechtliche Beachtlichkeit nicht genügend. Zwar sei nicht auszuschliessen, dass ihr Vater in einen Konflikt mit einem Dorfbewohner involviert (gewesen) sei. Die vorgebrachte, von F._______ ausgehende und die Beschwerdeführer betreffende Bedrohungslage sei jedoch unglaubhaft. Sie entbehre – auch unter Berücksichtigung des Alters der Beschwerdeführer – der nötigen Substanz und Details sowie eines per- sönlichen Erlebnisbezugs. Die betreffenden Ausführungen seien trotz mehrmaliger konkreter Nachfragen, Aufforderungen zur ausführlichen Prä- sentation und Beispielgebungen gänzlich substanzlos, allgemein und nicht erlebnisecht geblieben. An dieser Einschätzung änderten die vorgelegten Beweismittel nichts, da die Dokumente den Vater beträfen und keinerlei Rückschluss auf die konkreten Gründe der Auseinandersetzung des Vaters mit einer Drittperson oder gar auf eine darauf basierende Verfolgungslage der Beschwerdeführer zuliessen. Es erübrige sich mithin, die geltend ge- machte Bedrohungslage auf ihre Asylrelevanz hin zu prüfen. Im Weiteren gehe den bekanntermassen verschiedenartigen allgemeinen Schikanen und Benachteiligungen der Angehörigen der kurdischen Bevölkerung in der Türkei sowie der seit 2016 allgemein verschlechterten Menschenrechts- lage dort mangels genügender Ernsthaftigkeit die flüchtlingsrechtliche Be- achtlichkeit ab. Dies gelte ebenso für die angespannte Wirtschaftslage in der Türkei und die deshalb finanziell schwierige Situation der Familie. Von solchen auf persönliche, familiäre und soziale Lebenssituationen zurück- zuführenden Schwierigkeiten seien aktuell viele Menschen in der Türkei gleich oder ähnlich betroffen. Die in den Stellungnahmen vom 29. Juni 2022 erhobenen Einwände (Bekräftigung der Bedrohungslage; in Berück- sichtigung ihres Alters und ihrer eher geringen Schulbildung ausreichend erlebnisorientierte und detailreiche sowie übereinstimmende Schilderun- gen mit Realkennzeichen; persönliche Glaubwürdigkeit; Unterlegung mit Beweisdokumenten) führten nicht zu einer anderen Einschätzung. An den getroffenen Erwägungen sei daher festzuhalten, zumal die Beschwerde- führer über durchaus gute Schulbildungen verfügten und ihre fast identi- sche Schilderung der Fluchtgründe gerade gegen deren Glaubhaftigkeit</w:t>
      </w:r>
    </w:p>
    <w:p>
      <w:r>
        <w:t>E-3319/2022 und E-3320/2022 Seite 8 spreche, insbesondere wenn persönliche Erlebnisbezüge und eigene Ge- dankengänge fehlten. Die gesetzliche Regelfolge der Ablehnung der Asylgesuche sei die Weg- weisung aus der Schweiz. Deren Vollzug in den Heimatstaat sei mangels Erfüllung der Flüchtlingseigenschaft unter dem Aspekt von Art. 5 Abs. 1 AsylG, ferner unter praxisgemässer Berücksichtigung der allgemeinen Menschenrechtslage in der Türkei sowie mangels Anhaltspunkten für die beachtliche Wahrscheinlichkeit der Gewärtigung einer nach Art. 3 EMRK verbotenen Strafe oder Behandlung völkerrechtlich zulässig. Auch das Übereinkommen über die Rechte des Kindes vom 20. November 1989 (KRK) und die entsprechende bundesgerichtliche Rechtsprechung stün- den der Zulässigkeit nicht entgegen. Der Vollzug erweise sich ebenso als zumutbar. Auch nach der Niederschlagung des Militärputschversuchs vom Juli 2016 herrsche keine landesweite Situation allgemeiner Gewalt. Dies gelte, abgesehen von den Provinzen Sirnak und Hakkari, ebenso für die südöstlichen Provinzen, trotz gewaltsamer Auseinandersetzungen in den letzten Jahren zwischen der PKK (Kurdische Arbeiterpartei) und staatli- chen Sicherheitskräften. Die Einschätzungen stünden im Einklang mit der Wegweisungspraxis des Bundesverwaltungsgerichts. Die Beschwerdefüh- rer stammten aus der Provinz E._______. Dort lebten ihre (…) betreiben- den Eltern, (…)Geschwister und weitere Verwandte. Die Beschwerdeführer könnten in ihrer Heimatregion (…) weiterführen und abschliessen. Abgese- hen davon stünden ihnen auch Aufenthaltsalternativen in anderen Provin- zen zur Verfügung, beispielsweise in G._______, wo zwei Schwestern mit ihren Familien in normalen finanziellen Verhältnissen lebten, oder in H._______ (Tante). Auch das praxisgemäss zu berücksichtigende Kindes- wohl sei gewahrt, weil die Beschwerdeführer mit ihren Familienangehöri- gen telefonisch in Kontakt stünden, die Rückreise gemeinsam antreten und am Flughafen von den Angehörigen abgeholt werden könnten. Eine Rein- tegration sollte problemlos möglich sein, weil sie sich nur kurz in der Schweiz aufgehalten und ihr ganzes Leben sonst in der Türkei verbracht hätten. Ausserdem sei der Vollzug der Wegweisung technisch möglich und praktisch durchführbar.</w:t>
      </w:r>
    </w:p>
    <w:p>
      <w:r>
        <w:rPr>
          <w:b/>
        </w:rPr>
        <w:t>E. 7.2</w:t>
      </w:r>
    </w:p>
    <w:p>
      <w:r>
        <w:t>In ihren Rechtsmitteleingaben bekräftigen die Beschwerdeführer ihre geltend gemachte Bedrohungslage und ergänzen diese durch das Vorbrin- gen einer Suche nach ihnen durch die türkischen Sicherheitskräfte auf- grund eines offenbar gegen sie erhobenen Vorwurfs der Propaganda für eine Terrororganisation. Am 20. Juni 2022 hätten sie erfahren, dass ihre</w:t>
      </w:r>
    </w:p>
    <w:p>
      <w:r>
        <w:t>E-3319/2022 und E-3320/2022 Seite 9 Wohnung bei einer Razzia durch die Gendarmerie durchsucht und verwüs- tet worden sei und man nach ihrem Aufenthaltsort gefragt habe. Gemäss einem von ihrem Vater konsultierten türkischen Anwalt hätten sie Miss- handlungen und Folterungen sowie die Verurteilung zu einer Haftstrafe von ein bis fünf Jahren zu gewärtigen. Diese neue Furcht vor ernsthaften Nach- teilen sei «beweisbar und glaubhaft» und asylrelevant, zumal eine bloss vermutete Verbindung zur PKK praxisgemäss für eine strafrechtliche Ver- folgung genüge. Sie seien derzeit bemüht, einen Anwalt in dieser Sache zu bevollmächtigen und Beweismittel zu beschaffen; allerdings sei dies auf- grund der aktuellen Gerichtsferien in der Türkei derzeit noch schwierig. Weiter äussern die Beschwerdeführer ihr Bedauern, dass das SEM ihre erstinstanzlich deponierten und politisch motivierten Verfolgungsvorbrin- gen als unglaubhaft erkannt habe. Sie hätten nämlich alles mit bestem Wis- sen und Gewissen geschildert. Die anderslautende Beurteilung in der an- gefochtenen Verfügung sei pauschal, undifferenziert und basiere auf einem unvollständig und falsch erstellten Sachverhalt. Sie hätten mithin Anspruch auf Gewährung des Asyls, andernfalls die Sache zur Neubeurteilung an das SEM zurückzuweisen sei.</w:t>
      </w:r>
    </w:p>
    <w:p>
      <w:r>
        <w:rPr>
          <w:b/>
        </w:rPr>
        <w:t>E. 8.1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Flüchtlinge und auf Gewährung des Asyls bestehe. Diese Erwägungen und die darin enthaltenen Beweismittelwürdigungen geben zu keinen Beanstandungen Anlass und es kann insoweit zur Ver- meidung von Wiederholungen auf den Inhalt der angefochtenen Verfügun- gen (vgl. dort je E. II und III) sowie auf die zusammenfassende Wiedergabe oben (E. 7.1) verwiesen werden. Die Beschwerde führt diesbezüglich zu keiner anderen Betrachtungsweise, zumal sie sich in pauschalen Bekräfti- gungen und Gegenbehauptungen erschöpft, ohne sich konkret mit den Er- wägungen der Vorinstanz zu befassen. Die Beanstandung einer undiffe- renzierten und auf einem unvollständig und falsch erstellten Sachverhalt basierenden Beurteilung durch das SEM bleibt ihrerseits pauschal und – wie bereits die Asylvorbringen – ohne jegliche Substanz. Soweit die Be- schwerdeführer auf Beschwerdeebene nun einen gänzlich neuen Sachver- halt zusätzlich vorlegen, ist diesem keine Beachtung zu schenken. Dieser ist offensichtlich ohne zureichende Begründung nachgeschoben und stützt</w:t>
      </w:r>
    </w:p>
    <w:p>
      <w:r>
        <w:t>E-3319/2022 und E-3320/2022 Seite 10 sich auf reine Behauptungen. Die Beschwerdeführer sind denn auch an ihre umfassende und ihnen hinlänglich bekannte Mitwirkungspflicht nach Art. 8 AsylG zu erinnern. In diesem Zusammenhang ist nicht einzusehen, weshalb es ihnen (bzw. ihrer Rechtsvertretung) bei Anwendung der zumut- baren Sorgfalt nicht hätte möglich sein sollen, den ergänzenden Sachver- haltsteil noch im erstinstanzlichen Verfahren dem SEM zu präsentieren, zumal er gemäss eigenen Angaben spätestens seit dem 20. Juni 2022 be- kannt gewesen sei und sie neun Tage später Stellungnahmen zu den Ent- scheidentwürfen vorgelegt haben, ohne die angeblich neue Verfolgungs- lage auch nur im Ansatz zu erwähnen. Die ergänzenden Sachverhaltsvor- bringen sind daher als nachgeschoben und mithin unglaubhaft im Sinne von Art. 7 AsylG zu erkennen und die in Aussicht gestellten, aber sowohl sachlich als auch betreffend den Einreichungszeitpunkt nicht näher kon- kretisierten Beweismittel sind nicht abzuwarten. Das Gericht gelangt zur klaren Auffassung, dass es sich beim deponierten persönlichen Verfolgungssachverhalt der Beschwerdeführer um ein Kon- strukt handelt. Das SEM hat somit das Bestehen einer Verfolgungssituation der Beschwerdeführer und mithin deren behauptungsgemässe Ansprüche auf Feststellung der Flüchtlingseigenschaft und Gewährung des Asyls nach rechtsgenüglicher Abklärung des relevanten Sachverhalts und unter Wahrung der den Beschwerdeführenden zustehenden Verfahrensrechte zu Recht verneint.</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 Dies wird in der Beschwerde substanziell auch nicht bestritten.</w:t>
      </w:r>
    </w:p>
    <w:p>
      <w:r>
        <w:rPr>
          <w:b/>
        </w:rPr>
        <w:t>E. 8.3</w:t>
      </w:r>
    </w:p>
    <w:p>
      <w:r>
        <w:t>Die Vorinstanz hat im Weiteren den Wegweisungsvollzug zu Recht als zulässig, zumutbar und möglich erkannt. Zur Vermeidung von Wiederho- lungen kann hierzu wiederum vollumfänglich auf die zu bestätigenden Aus- führungen des SEM in der angefochtenen Verfügung sowie auf die vorste- hende Zusammenfassung (E. 7.1) verwiesen werden. Auch diesbezüglich führt die Beschwerde nicht zu einer anderen Betrachtungsweise, zumal sie wiederum keine substanziellen Bestreitungen enthält. Es gilt abschlies- send festzuhalten, dass mit einer gemeinsamen Rückkehr der beiden min- derjährigen Beschwerdeführer in ihre Heimat – bei Bedarf in Begleitung</w:t>
      </w:r>
    </w:p>
    <w:p>
      <w:r>
        <w:t>E-3319/2022 und E-3320/2022 Seite 11 ihrer in der Schweiz wohnhaften (…) – und in ein dort tragfähig bestehen- des familiäres Beziehungsnetz dem in Art. 3 der KRK verbrieften Grund- satz des Kindeswohls bestmöglich Rechnung getragen wird. Der Vollzug der Wegweisung ist nach dem Gesagten als zulässig, zumut- bar und möglich zu bezeichnen.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den Beschwerde- führern aufzuerlegen (Art. 63 Abs. 1 VwVG). Auf deren Erhebung ist jedoch aufgrund ihrer Minderjährigkeit ausnahmsweise zu verzichten (vgl. Art. 63 Abs. 1 [letzter Satz] VwVG). Damit erweist sich das Gesuch um Gewäh- rung der unentgeltlichen Prozessführung als hinfällig. Jenes um Verzicht auf die Erhebung eines Kostenvorschusses ist schon angesichts des vor- liegenden, instruktionslos ergehenden Direktentscheids in der Sache hin- fällig.</w:t>
      </w:r>
    </w:p>
    <w:p>
      <w:r>
        <w:t>(Dispositiv nächste Seite)</w:t>
      </w:r>
    </w:p>
    <w:p>
      <w:r>
        <w:t>E-3319/2022 und E-3320/2022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