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E-3316/2014 vom 23. Dezember 2016</w:t>
      </w:r>
    </w:p>
    <w:p>
      <w:r>
        <w:t>Bundesverwaltungsgericht, 2016-12-23, DE</w:t>
      </w:r>
    </w:p>
    <w:p>
      <w:r>
        <w:rPr>
          <w:b/>
        </w:rPr>
        <w:t xml:space="preserve">Quelle: </w:t>
      </w:r>
      <w:r>
        <w:t>https://mcp.opencaselaw.ch/entscheid/bvger_E-3316_2014</w:t>
      </w:r>
    </w:p>
    <w:p>
      <w:r>
        <w:t>FR: TAF E-3316/2014 du 23 décembre 2016</w:t>
      </w:r>
    </w:p>
    <w:p>
      <w:r>
        <w:t>IT: TAF E-3316/2014 del 23 dicembre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2</w:t>
      </w:r>
    </w:p>
    <w:p>
      <w:r>
        <w:t>Das am (...) geborene Kind D._______ wird in das Beschwerdeverfahren seiner Mutter und der beiden Geschwister einbezogen.</w:t>
      </w:r>
    </w:p>
    <w:p>
      <w:r>
        <w:rPr>
          <w:b/>
        </w:rPr>
        <w:t>E. 3.1</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Gemäss Abs. 2 der Übergangsbestimmungen des Asylgesetzes vom 26. Juni 1998 betreffend die Änderung vom 14. Dezember 2012 gilt unter anderem bei Wiedererwägungsgesuchen für die im Zeitpunkt des Inkrafttretens der Änderung vom 14. Dezember 2012 des Asylgesetzes vom 26. Juni 1998 hängigen Verfahren bisheriges Recht in der Fassung vom 1. Januar 2008. Die neurechtliche Regelung von Art. 111b ff. AsylG findet somit vorliegend keine Anwendung.</w:t>
      </w:r>
    </w:p>
    <w:p>
      <w:r>
        <w:rPr>
          <w:b/>
        </w:rPr>
        <w:t>E. 3.2</w:t>
      </w:r>
    </w:p>
    <w:p>
      <w:r>
        <w:t>Die Beschwerde ist frist- und formgerecht eingereicht (Art. 108 Abs. 1 AsylG; Art. 105 AsylG i.V.m. Art. 37 VGG und Art. 52 Abs. 1 VwVG). Die Beschwerdeführenden sind durch die angefochtene Verfügung berührt und hat ein schutzwürdiges Interesse an deren Aufhebung beziehungsweise Änderung. Die Beschwerdeführenden sind demnach zur Einreichung der Beschwerde legitimiert (Art. 105 AsylG i.V.m. Art. 37 VGG und Art. 48 Abs. 1 VwVG). Auf die Beschwerde ist einzutreten.</w:t>
      </w:r>
    </w:p>
    <w:p>
      <w:r>
        <w:rPr>
          <w:b/>
        </w:rPr>
        <w:t>E. 4</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5.1</w:t>
      </w:r>
    </w:p>
    <w:p>
      <w:r>
        <w:t>Die Wiedererwägung im Verwaltungsverfahren war bis zu der am 1. Februar 2014 in Kraft getretenen Revision des AsylG ein gesetzlich nicht geregelter Rechtsbehelf auf dessen Behandlung durch die verfügende Behörde grundsätzlich kein Anspruch besteht. Gemäss herrschender Lehre und ständiger Praxis des Bundesgerichts wurde jedoch aus Art. 29 BV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5.2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6.1</w:t>
      </w:r>
    </w:p>
    <w:p>
      <w:r>
        <w:t>Anfechtungsgegenstand der vorliegenden Beschwerde ist die Verfügung des BFM vom 6. Mai 2014. Die Beschwerde beschränkt sich somit auf die Frage, ob die Vorinstanz - unter Berücksichtigung der Aktenlage im Urteilszeitpunkt - zu Recht davon ausgegangen ist, ihre Verfügung vom 19. März 2010 sei nach wie vor korrekt.</w:t>
      </w:r>
    </w:p>
    <w:p>
      <w:r>
        <w:rPr>
          <w:b/>
        </w:rPr>
        <w:t>E. 6.2</w:t>
      </w:r>
    </w:p>
    <w:p>
      <w:r>
        <w:t>Die Vorinstanz stellte in ihrer ablehnenden Verfügung fest, es sei der Beschwerdeführerin und ihren Kindern bereits in der Zwischenverfügung vom 15. Mai 2012 mitgeteilt worden, dass ihre am 2. März 2012 als zweites Asylgesuch bezeichnete Eingabe nicht als solche, sondern als ein Wiedererwägungsgesuch entgegengenommen werde. Dieses werde in der Folge parallel mit dem am 22. August 2011 gestellten Asylgesuch ihres Ehemannes behandelt. Das Asylgesuch des Ehemannes sei mit Verfügung vom 6. Mai 2014 (folglich am gleichen Tag wie das Wiedererwägungsgesuch der Beschwerdeführerin) abgelehnt worden. Somit würden alle Gründe, die sie für ihr Wiedererwägungsgesuch geltend gemacht habe, ebenfalls wegfallen.</w:t>
      </w:r>
    </w:p>
    <w:p>
      <w:r>
        <w:rPr>
          <w:b/>
        </w:rPr>
        <w:t>E. 6.3</w:t>
      </w:r>
    </w:p>
    <w:p>
      <w:r>
        <w:t>In der Beschwerde wurde gerügt, das BFM habe den Anspruch auf Akteneinsicht sowie auf rechtliches Gehör (Art. 29 Abs. 2 BV) in schwerwiegender Weise verletzt. Weiter wurde die Verletzung insbesondere von Art. 3 und 7 AsylG, Art. 83 Abs. 3 AuG (SR 142.20) sowie Art. 3 und 9 BV gerügt. Sodann unterstrich der Rechtsvertreter, dass die gleichzeitig verfasste Beschwerde betreffend den Ehemann mit dem exakten Wortlaut beigelegt werde, womit jene Ausführungen integralen Teil der vorliegenden Beschwerde bilden würden. Die angefochtene Verfügung müsse daher aufgrund des unmittelbaren Zusammenhangs der beiden Fälle sowie aufgrund der zwingenden Notwendigkeit der Neubeurteilung im Fall des Ehemannes zwingend aufgehoben werden.</w:t>
      </w:r>
    </w:p>
    <w:p>
      <w:r>
        <w:rPr>
          <w:b/>
        </w:rPr>
        <w:t>E. 7.1</w:t>
      </w:r>
    </w:p>
    <w:p>
      <w:r>
        <w:t>Vorab ist festzuhalten, dass die Beschwerde des Ehemannes der Beschwerdeführerin vorgängig behandelt und mit Urteil vom heutigen Datum (E-3354/2014) wegen unglaubhafter Vorbringen abgelehnt wurde. Sodann ist hervorzuheben, dass die vorliegende Beschwerde die Beschwerdeführerin betreffend lediglich aus fünf Seiten besteht, welche die Rechtsbegehren, formelle Rügen ohne konkrete Ausführungen, sowie eine Zusammenfassung bisheriger Geschehnisse (Schriftenwechsel) beinhaltet. Dazu wurde die 46-seitige Beschwerde des Ehemannes beigelegt. Die in dieser Eingabe enthaltenen, meist formellen Rügen die Beschwerdeführerin betreffend wurden in jenem Urteil bereits behandelt. Nachdem vorliegend einzig geltend gemacht wird, dass die Ausführungen in der Beschwerde des Ehemannes integraler Teil der Beschwerde betreffend die Beschwerdeführerin seien, und sie selbst nichts Eigenes geltend macht, kann nach der Abweisung der Beschwerde des Ehemannes auch der Inhalt dieser Beschwerde nicht zu einem anderen Ergebnis führen. Das BFM lehnte das Wiedererwägungsgesuch der Beschwerdeführerin zu Recht ab. Vor diesem Hintergrund ist auf die Erwägungen im Beschwerdeentscheid ihres Ehemannes zu verweisen und die Beschwerde mangels Wiedererwägungsgründe abzuweisen. Die Verfügung des BFM vom 19. März 2010 bleibt ebenso rechtskräftig in Bezug auf die Ziffern 1-3 des Dispositivs wie die am 30. November 2011 verfügte vorläufige Aufnahme der Beschwerdeführerin und ihrer Kinder.</w:t>
      </w:r>
    </w:p>
    <w:p>
      <w:r>
        <w:rPr>
          <w:b/>
        </w:rPr>
        <w:t>E. 7.2</w:t>
      </w:r>
    </w:p>
    <w:p>
      <w:r>
        <w:t>Nach dem Gesagten erübrigt es sich zu überprüfen, ob das BFM das am 2. März 2012 gestellte zweite Asylgesuch zu Recht als Wiedererwägungsgesuch behandelt und abgewiesen hat. Denn selbst wenn dem nicht so wäre und das BFM das genannte Gesuch als zweites Asylgesuch hätte entgegennehmen sollen, ist der Beschwerdeführerin daraus kein Nachteil erwachsen und eine Rückweisung der Sache an die Vorinstanz würde zu einem formalistischen Leerlauf und damit zu zusätzlichen Verzögerungen führen, die mit einer beförderlichen Beurteilung der Sache nicht zu vereinbaren wären (vgl. BGE 137 I 195 E. 2.3.2; BVGE 2013/23 E. 6.1.3).</w:t>
      </w:r>
    </w:p>
    <w:p>
      <w:r>
        <w:rPr>
          <w:b/>
        </w:rPr>
        <w:t>E. 8</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Der geleistete Kostenvorschuss vom 27. September 2014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