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E-3314/2021 vom 11. Juni 2021</w:t>
      </w:r>
    </w:p>
    <w:p>
      <w:r>
        <w:t>Bundesverwaltungsgericht, 2021-06-11, DE</w:t>
      </w:r>
    </w:p>
    <w:p>
      <w:r>
        <w:rPr>
          <w:b/>
        </w:rPr>
        <w:t xml:space="preserve">Quelle: </w:t>
      </w:r>
      <w:r>
        <w:t>https://mcp.opencaselaw.ch/entscheid/bvger_E-3314_2021_d20210611</w:t>
      </w:r>
    </w:p>
    <w:p>
      <w:r>
        <w:t>FR: TAF E-3314/2021 du 11 juin 2021</w:t>
      </w:r>
    </w:p>
    <w:p>
      <w:r>
        <w:t>IT: TAF E-3314/2021 del 11 giugno 2021</w:t>
      </w:r>
    </w:p>
    <w:p>
      <w:pPr>
        <w:pStyle w:val="Heading2"/>
      </w:pPr>
      <w:r>
        <w:t>Regeste</w:t>
      </w:r>
    </w:p>
    <w:p>
      <w:r>
        <w:t>Asyl und Wegweisung | Asyl und Wegweisung; Verfügung des SEM vom 11.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vorliegende Verfahren wird mit dem Verfahren des Ehemannes (E._______) und der beiden Söhne E-3313/2021 (N […]) zeitlich koordi- niert und es werden die entsprechenden Akten beigezogen. Ferner wurde die Tochter der Beschwerdeführerin, B._______, in das vorliegende Ver- fahren miteinbezogen.</w:t>
      </w:r>
    </w:p>
    <w:p>
      <w:r>
        <w:rPr>
          <w:b/>
        </w:rPr>
        <w:t>E. 4.1</w:t>
      </w:r>
    </w:p>
    <w:p>
      <w:r>
        <w:t>Die Zusammensetzung des Spruchkörpers wurde der Beschwerde- führerin mit Zwischenverfügung vom 3. August 2021 bereits mitgeteilt. Da die damals der Beschwerdeführerin mitgeteilte Zweitrichterin gerichtsintern</w:t>
      </w:r>
    </w:p>
    <w:p>
      <w:r>
        <w:t>E-3314/2021 Seite 6 die Abteilung gewechselt hat, wurde sie im vorliegenden Verfahren durch Richterin Regina Derrer ersetzt. Die hinterlegten Kriterien des Automatis- mus bezüglich Auswahlprozedere dieses bekanntgegebenen Spruchkör- pers wurden durch zusätzliche Kriterien manuell ergänzt. Die manuelle An- passung wurde aufgrund objektiver und im Voraus bestimmter Kriterien vorgenommen (vgl. Art. 31 Abs. 3 VGR). Als objektive Kriterien in diesem Sinne gelten Amtssprache, Beschäftigungsgrad, Belastung durch die Mit- arbeit in Gerichtsgremien, Vorbefassung, Kammerzuständigkeit, Austritt, Erweiterung des Spruchkörpers, Ausstand, enger Sachzusammenhang, Abwesenheit sowie Ausgleich der Belastungssituation. Für die Spruchkör- perbildung ist das Abteilungs- beziehungsweise Kammerpräsidium verant- wortlich (vgl. Art. 31 und 32 i.V.m. Art. 25 Abs. 5 Bst. b VGR).</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Grundsatzurteil des BVGer D-3946/2020 vom 21. April 2022 E. 4.5 m.w.H.).</w:t>
      </w:r>
    </w:p>
    <w:p>
      <w:r>
        <w:rPr>
          <w:b/>
        </w:rPr>
        <w:t>E. 5.1</w:t>
      </w:r>
    </w:p>
    <w:p>
      <w:r>
        <w:t>In der Beschwerde werden formelle Rügen erhoben, welche vorab zu beurteilen sind, da sie gegebenenfalls geeignet sind, eine Kassation der vorinstanzlichen Verfügung zu bewirken (vgl. BGE 138 I 232 E. 5).</w:t>
      </w:r>
    </w:p>
    <w:p>
      <w:r>
        <w:rPr>
          <w:b/>
        </w:rPr>
        <w:t>E. 5.2.1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t>E-3314/2021 Seite 7 Aus dem Akteneinsichtsrecht als Teilgehalt des rechtlichen Gehörs ergibt sich, dass grundsätzlich sämtliche beweiserheblichen Akten den Beteilig- 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(BGE 130 II 473 E. 4.1 m.w.H.). Der Anspruch auf Akteneinsicht setzt eine geordnete, übersichtliche und vollständige Aktenführung (Ablage, Pa- ginierung und Registrierung der vollständigen Akten im Aktenverzeichnis) voraus (vgl. BVGE 2012/24 E. 3.2, 2011/37 E. 5.4.1).</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5.3.1.1</w:t>
      </w:r>
    </w:p>
    <w:p>
      <w:r>
        <w:t>Die Beschwerdeführerin bringt in ihrer Beschwerde vor, es gebe im vorliegenden Fall ein Aktenverzeichnis B und ein Aktenverzeichnis C, in welche ihrem Rechtsvertreter Einsicht gewährt worden sei. Die Akten seien auf willkürliche Art und Weise einmal im Verzeichnis B und einmal im Ver- zeichnis C aufgeführt. Es bleibe dem unterzeichneten Anwalt schleierhaft, wann welche Akten des SEM in welchem Verzeichnis aufgeführt würden. Auch die Paginierungen ergäben keinen Sinn, so sei beispielsweise das Asylgesuch des Ehemannes der Beschwerdeführerin vom 11. Juni 2018 im B-Verzeichnis aufgeführt aber mit A17/6 paginiert. Es sei für den Rechts- vertreter unklar, ob überhaupt ein Verzeichnis A existiere und wenn ja, wes- halb in die entsprechenden Akten keine Einsicht gewährt werde. Die chao- tische Aktenführung im vorliegenden Fall ziehe sich im Beweismittelver- zeichnis (Akte B16) weiter, wo lediglich ein nicht übersetztes Beweismittel aufgeführt worden sei. Die weiteren im vorliegenden Fall eingereichten Be- weismittel seien an keiner Stelle aufgeführt worden. Damit verletze das SEM auf massive Weise das rechtliche Gehör gemäss Art. 29 Abs. 2 BV. Es sei nicht Sache des BVGer, auf Beschwerdeebene die chaotischen Ak- ten des SEM in Ordnung zu bringen. Auch sei aufgrund des aktuellen Zu- standes der Akten unklar, ob diese überhaupt vollständig seien.</w:t>
      </w:r>
    </w:p>
    <w:p>
      <w:r>
        <w:t>E-3314/2021 Seite 8</w:t>
      </w:r>
    </w:p>
    <w:p>
      <w:r>
        <w:rPr>
          <w:b/>
        </w:rPr>
        <w:t>E. 5.3.1.2</w:t>
      </w:r>
    </w:p>
    <w:p>
      <w:r>
        <w:t>In der Stellungnahme vom 18. August 2021 hielt das SEM dazu fest, dass im betreffenden N-Dossier vier Unterverzeichnisse existierten: Verzeichnis A (enthalte Akten zum Asylgesuch des Ehemanns der Be- schwerdeführerin vom 9. Januar 2014), Verzeichnis B («im folgenden B1»; enthalte Akten zum Mehrfachgesuch des Ehemanns der Beschwerdefüh- rerin vom 20. Juni 2014), Verzeichnis C (enthalte Akten zum Mehrfachge- such des Ehemanns der Beschwerdeführerin vom 5. März 2018 sowie die ab dem 5. März 2020 entstandenen Akten im Rahmen des Dublin-Wegwei- sungsverfahrens bezüglich des Ehemannes der Beschwerdeführerin), ein weiteres Verzeichnis B («im folgenden B2», enthalte Akten zu den Asylge- suchen der Beschwerdeführerin und des Sohnes C._______ vom 30. Mai 2018; weiter enthalte es Akten zum Wiedererwägungsgesuch des Ehe- mannes der Beschwerdeführerin vom 11. Juni 2018 und die Akten zum Wiedererwägungsgesuch des Ehemannes der Beschwerdeführerin betref- fend die Wiederaufnahme seines Mehrfachgesuches; dieses Verzeichnis und die darin enthaltenen Akten müssten mit dem Kennbuchstaben D be- zeichnet sein; eine Verwechslungsgefahr mit den um Jahre früher datierten Akten von Verzeichnis B1 bestehe jedoch nicht). In die Akten der Verzeich- nisse A und B1 sei dem Rechtsvertreter bisher keine Einsicht gewährt wor- den; dies sei aber mit Schreiben vom 17. August 2021 nachgeholt worden. Mit Schreiben vom 26. März 2021 sei dem Rechtsvertreter Akteneinsicht in die Verzeichnisse B2 und C gewährt worden. Zu diesem Zeitpunkt sei das Beweismittelverzeichnis von Verzeichnis B2 (Akte B16) offenbar noch nicht auf dem aktuellen Stand gewesen. Im Rahmen der Asylentscheide vom 11. Juni 2021 sei Einsicht in die seit dem 26. März 2021 neu entstandenen editionspflichtigen Akten gewährt worden. Dabei sei versäumt worden, eine Kopie des (vor dem 26. März 2021 entstandenen) nunmehr aktuellen Be- weismittelverzeichnisses beizulegen. Mit Schreiben vom 17. August 2021 sei dem Rechtsvertreter deshalb ebenfalls eine Kopie des aktuellen Be- weismittelverzeichnisses von Verzeichnis B2 zugesandt worden. Im Rah- men der Akteneinsicht vom 26. März 2021 sei dem Rechtsvertreter das Ak- tenverzeichnis B2 zugesandt worden. Das im Verzeichnis B2 enthaltene Wiedererwägungsgesuch «des Beschwerdeführers» vom 11. Juni 2018 sei fälschlicherweise mit A17/6 beschriftet, im Index des Verzeichnisses je- doch korrekt unter B17/6 aufgenommen worden. Die falsche Beschriftung sei mittlerweile zu B17/6 korrigiert worden. Nach Ansicht des SEM sei die Aktenführung im vorliegenden Fall nachvollziehbar und die Aktenführungs- pflicht erfüllt.</w:t>
      </w:r>
    </w:p>
    <w:p>
      <w:r>
        <w:rPr>
          <w:b/>
        </w:rPr>
        <w:t>E. 5.3.1.3</w:t>
      </w:r>
    </w:p>
    <w:p>
      <w:r>
        <w:t>Die Beschwerdeführerin führte dazu in ihrer Stellungnahme vom 25. August 2021 im Wesentlichen aus, durch die Gewährung der</w:t>
      </w:r>
    </w:p>
    <w:p>
      <w:r>
        <w:t>E-3314/2021 Seite 9 Akteneinsicht vom 17. August 2021 durch das SEM habe sich in gewissen Punkten eine Klärung ergeben. Vorab sei aber festzuhalten, dass das SEM das Beweismittelverzeichnis nachgetragen habe, dies jedoch nicht im Rah- men des Standardformulars, sondern auf der Rückseite des Couverts. Die Kopie des Aktenverzeichnisses sei wiederum so unsorgfältig angefertigt worden, dass die Nummerierungen der Beweismittel 1 bis 15 abgeschnit- ten worden seien, und diesbezüglich wiederum eine Unklarheit entstehen könne. Das SEM habe zudem die gleichlautenden Akten B in B1 und B2 umbenannt. Das Aktenverzeichnis B2 (diesbezüglich sei dem unterzeich- neten Anwalt nur eine Kopie des Verzeichnisses zugestellt worden) bleibe jedoch nach wie vor völlig chaotisch und vermische verschiedene Verfah- ren von E._______ (Ehemann der Beschwerdeführerin) und der Beschwer- deführerin sowohl inhaltlich wie auch chronologisch. Aus den Unterlagen zu B1 und B2 ergebe sich, dass offensichtlich noch ein weiteres Verzeich- nis mit dem Buchstaben C existiere. Diesbezüglich seien aber weder das Verzeichnis noch die entsprechenden Akten zugestellt worden. Es sei nach wie vor fast nicht möglich, sich in dieser Sache zu orientieren, zumal zwar gemäss Sprachregelung des SEM die Aktenverzeichnisse in B1 und B um- benannt worden seien, dies aber beispielsweise in den Aktenverzeichnis- sen nicht sichtbar sei und einzelne Aktenstücke nach wie vor doppelt vor- kämen.</w:t>
      </w:r>
    </w:p>
    <w:p>
      <w:r>
        <w:rPr>
          <w:b/>
        </w:rPr>
        <w:t>E. 5.3.1.4</w:t>
      </w:r>
    </w:p>
    <w:p>
      <w:r>
        <w:t>Die Beschwerdeführerin weist in der Eingabe vom 27. September 2021 erneut auf die aus ihrer Sicht «chaotische Aktenführung» der Vor- instanz hin und bekräftigte ihren Antrag, dass diese durch das BVGer an- gewiesen werden soll, das Verzeichnis B2 chronologisch und inhaltlich zu trennen.</w:t>
      </w:r>
    </w:p>
    <w:p>
      <w:r>
        <w:rPr>
          <w:b/>
        </w:rPr>
        <w:t>E. 5.3.2.1</w:t>
      </w:r>
    </w:p>
    <w:p>
      <w:r>
        <w:t>In der Beschwerde und den weiteren Eingaben der Beschwerde- führerin werden eine Verletzung des Akteneinsichtsrechts und der Pflicht zur vollständigen und richtigen Aktenführung geltend gemacht. Diese for- melle Rüge ist, wie nachfolgend aufgezeigt wird, berechtigt: Dem Schrei- ben des SEM vom 18. August 2021 kann entnommen werden, dass dem Rechtsvertreter in die Akten A und B1 bislang keine Akteneinsicht gewährt worden war. Dem Schreiben ebenfalls zu entnehmen ist, dass zum Zeit- punkt der Akteneinsicht in die Verzeichnisse B2 und C am 26. März 2021 das Beweismittelverzeichnis von Verzeichnis B2 (Akte B16) noch nicht auf dem aktuellen Stand war. Auch wurde bei der Eröffnung der Asylentscheide vom 11. Juni 2021 im Rahmen der Akteneinsicht versäumt, eine Kopie des (vor dem 26. März 2021 entstandenen) nunmehr aktuellen</w:t>
      </w:r>
    </w:p>
    <w:p>
      <w:r>
        <w:t>E-3314/2021 Seite 10 Beweismittelverzeichnisses beizulegen. Ferner wurde das im Verzeichnis B2 enthaltene Wiedererwägungsgesuch des Ehemannes der Beschwerde- führerin vom 11. Juni 2018 fälschlicherweise mit A17/6 beschriftet, im Index des Verzeichnisses jedoch korrekt unter B17/6 aufgenommen. Als Zwi- schenergebnis ist folglich festzustellen, dass die Vorinstanz das rechtliche Gehör verletzte, indem sie der ihr obliegenden Aktenführungspflicht nicht mit der gebotenen Sorgfalt nachgekommen ist.</w:t>
      </w:r>
    </w:p>
    <w:p>
      <w:r>
        <w:rPr>
          <w:b/>
        </w:rPr>
        <w:t>E. 5.3.2.2</w:t>
      </w:r>
    </w:p>
    <w:p>
      <w:r>
        <w:t>Eine Verletzung des Anspruchs auf rechtliches Gehör führt grund- sätzlich zur Aufhebung der angefochtenen Verfügung und Rückweisung der Sache an die Vorinstanz. Eine Heilung aus prozessökonomischen Gründen ist auf Beschwerdeebene aber möglich, sofern das Versäumte nachgeholt wird, die beschwerdeführende Person dazu Stellung nehmen kann, die festgestellte Verletzung nicht schwerwiegender Natur ist, die feh- lende Entscheidreife durch die Beschwerdeinstanz mit vertretbarem Auf- wand hergestellt werden kann und der Beschwerdeinstanz im streitigen Fall die freie Überprüfungsbefugnis zukommt (vgl. zu allem BVGE 2014/22 E. 5.3 mit weiteren Hinweisen; vgl. ebenso D-6846/2018, E 4.2.4). Im Rahmen des Schriftenwechsels auf Beschwerdeebene wurde die Ak- tenführung nachgebessert und der Beschwerdeführerin nachträglich er- neut Akteneinsicht gewährt. Diesbezüglich sei am 26. März 2021 – so das SEM im Schreiben vom 18. August 2021 – dem Rechtsvertreter Einsicht in die Verzeichnisse B2 und C gewährt worden. Zwar sei – so das SEM im besagten Schreiben weiter – zu diesem Zeitpunkt das Beweismittelver- zeichnis des Verzeichnisses B2 (Akte B16) noch nicht auf dem aktuellen Stand gewesen, im Rahmen der Asylentscheide vom 11. Juni 2021 sei aber in die seit dem 26. März 2021 neu entstandenen editionspflichtigen Akten Einsicht gewährt worden. Ferner sei dem Rechtsvertreter mit Schrei- ben vom 17. August 2021 Einsicht in die Aktenverzeichnisse A und B1 ge- währt worden. Ebenfalls ist auf Beschwerdeebene unbestritten, dass das SEM das Aktenverzeichnis B2 ergänzt und am 17. August 2021 der Be- schwerdeführerin zugestellt hat. Zudem erhielt die Beschwerdeführerin nach der ergänzenden Akteneinsicht die Gelegenheit, erneut eine Stellung- nahme einzureichen, welche sie mit Eingabe vom 25. August 2021 auch wahrgenommen hat. Darin wurde erneut eine chaotische Aktenführung kri- tisiert. Ferner wurde eine unsorgfältige Beschriftung und Kopie des Be- weismittelverzeichnisses geltend gemacht und vorgebracht, es sei durch das SEM in das Aktenverzeichnis C noch immer keine Akteneinsicht ge- währt worden. Nachdem dem Rechtsvertreter mit Schreiben des SEM vom 16. September 2021 im Beschwerdeverfahren des Ehemannes der</w:t>
      </w:r>
    </w:p>
    <w:p>
      <w:r>
        <w:t>E-3314/2021 Seite 11 Beschwerdeführerin E-3313/2021 Einsicht in das Verzeichnis C gewährt wurde und die Beschwerdeführerin sich mit Eingabe vom 27. September 2021 erneut äussern konnte, sind alle Voraussetzungen für eine Heilung erfüllt. In Bezug auf die von der Beschwerdeführerin bemängelte chaoti- sche Aktenführung und die unsorgfältige Beschriftung und Kopie des Be- weismittelverzeichnisses ist festzuhalten, dass nachträgliche Korrekturen erfolgten beziehungsweise die Pflichtverletzungen von geringer Tragweite waren und die Beschwerdeführerin daraus keine Nachteile zu gewärtigen hatte. Eine Aufhebung der Verfügung und Rückweisung der Sache recht- fertigt sich daher nicht. Ferner hat die Vorinstanz im Beschwerdeverfahren auf Aufforderung der Instruktionsrichterin ihr N-Dossier respektive die darin enthaltenen Akten neu geordnet, wo erforderlich neu beschriftet und nach- geführt sowie der Beschwerdeführerin zugestellt. Die Beschwerdeführerin hatte zudem während dem gesamten Beschwerdeverfahren die Möglich- keit, insbesondere zur Aktenführung der Vorinstanz Stellung zu nehmen, was sie mit ihren Eingaben auch getan hat. Dem Beweisantrag 1 auf Seite 24 der Beschwerde ist somit genüge getan.</w:t>
      </w:r>
    </w:p>
    <w:p>
      <w:r>
        <w:rPr>
          <w:b/>
        </w:rPr>
        <w:t>E. 5.4.1</w:t>
      </w:r>
    </w:p>
    <w:p>
      <w:r>
        <w:t>Die Beschwerdeführerin macht weiter geltend, es seien die Risiko- faktoren gemäss Referenzurteil des BVGer zu Sri Lanka, ihr Gesundheits- zustand, die frauenspezifischen Fluchtgründe sowie die aktuelle Lage in Sri Lanka nicht rechtsgenüglich berücksichtigt worden.</w:t>
      </w:r>
    </w:p>
    <w:p>
      <w:r>
        <w:rPr>
          <w:b/>
        </w:rPr>
        <w:t>E. 5.4.2</w:t>
      </w:r>
    </w:p>
    <w:p>
      <w:r>
        <w:t>Dem ist zu widersprechen. Die Vorinstanz hat sich in der angefoch- tenen Verfügung rechtsgenüglich mit den Risikofaktoren gemäss Refe- renzurteil des BVGer E-1866/2015 vom 15. Juli 2016 (vgl. angefochtene Verfügung Ziff. II./2 S. 5 f.), dem Gesundheitszustand der Beschwerdefüh- rerin (vgl. angefochtene Verfügung Ziff. III./2 S. 8 f.), den frauenspezifi- schen Fluchtgründen (vgl. angefochtene Verfügung Ziff. II. S. 4) und der aktuellen Lage in Sri Lanka (vgl. angefochtene Verfügung Ziff. II./2 S. 6) auseinandergesetzt. Im Übrigen beschlägt der blosse Umstand, dass die Beschwerdeführerin die Beurteilung ihrer Vorbringen durch die Vorinstanz nicht teilt, die Frage der materiellen Würdigung. Der Beweisan- trag 2 («Der Gesundheitszustand der Beschwerdeführerin sei von Amtes wegen weiter abzuklären. Allenfalls sei der Beschwerdeführerin eine ange- messene Frist zur Einreichung eines detaillierten fachärztlichen Gutach- tens anzusetzen.», vgl. S. 24 der Beschwerde) wird demnach abgewiesen. Der Vollständigkeit halber ist zu erwähnen, dass die Beschwerdeführerin während der letzten rund drei Jahre des Beschwerdeverfahrens keine wei- teren Arztzeugnisse nachgereicht hat.</w:t>
      </w:r>
    </w:p>
    <w:p>
      <w:r>
        <w:t>E-3314/2021 Seite 12</w:t>
      </w:r>
    </w:p>
    <w:p>
      <w:r>
        <w:rPr>
          <w:b/>
        </w:rPr>
        <w:t>E. 5.5.1</w:t>
      </w:r>
    </w:p>
    <w:p>
      <w:r>
        <w:t>Die Beschwerdeführerin bringt weiter vor, die Vorinstanz habe die LTTE-Verbindungen von ihr und diejenigen ihrer Familie nicht hinreichend abgeklärt. Dies gelte ebenfalls für ihre exilpolitischen Tätigkeiten, weshalb der diesbezügliche rechtserhebliche Sachverhalt unvollständig abgeklärt worden sei.</w:t>
      </w:r>
    </w:p>
    <w:p>
      <w:r>
        <w:rPr>
          <w:b/>
        </w:rPr>
        <w:t>E. 5.5.2</w:t>
      </w:r>
    </w:p>
    <w:p>
      <w:r>
        <w:t>Das SEM hat in der angefochtenen Verfügung die Risikofaktoren ge- mäss Referenzurteil E-1866/2015 geprüft, wie eine Befragung am Flugha- fen, eine exilpolitische Tätigkeit, die Dauer des Auslandaufenthalts und die geltend gemachten Verbindungen von Verwandten mit den LTTE (vgl. an- gefochtene Verfügung Ziff. II./2. S. 5 f.). Ferner ist auch nicht ersichtlich, wie in der Beschwerde behauptet wird, dass dem SEM «offensichtlich die notwendigen Länderinformationen und Länderkenntnisse fehlen». Das SEM hat folglich den rechtserheblichen Sachverhalt vollständig und korrekt erhoben.</w:t>
      </w:r>
    </w:p>
    <w:p>
      <w:r>
        <w:rPr>
          <w:b/>
        </w:rPr>
        <w:t>E. 5.6</w:t>
      </w:r>
    </w:p>
    <w:p>
      <w:r>
        <w:t>Es besteht nach dem Gesagten keine Veranlassung, die angefochtene Verfügung aus formellen Gründen aufzuheben und die Sache ans SEM zurückzuweisen. Das Kassationsbegehren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Wurde eine Gefährdungssituation erst durch ein Verhalten nach der Ausreise aus dem Heimat- oder Herkunftsstaat geschaffen, liegen soge- nannte subjektive Nachfluchtgründe gemäss Art. 54 AsylG vor. Solche be- gründen zwar die Flüchtlingseigenschaft im Sinne von Art. 3 AsylG, führen jedoch gemäss Art. 54 AsylG zum Ausschluss des Asyls, unabhängig da- von, ob sie missbräuchlich oder nicht missbräuchlich gesetzt wurden. Statt- dessen werden Personen, die subjektive Nachfluchtgründe nachweisen oder glaubhaft machen können, als Flüchtlinge vorläufig aufgenommen (vgl. BVGE 2009/28 E. 7.1).</w:t>
      </w:r>
    </w:p>
    <w:p>
      <w:r>
        <w:t>E-3314/2021 Seite 13</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führte zur Begründung ihrer Verfügung im Wesentlichen aus, die Beschreibung der Beschwerdeführerin des Besuchs von zwei Per- sonen, die unter einem Vorwand in ihr Haus gekommen seien und sie be- droht hätten, weise zumindest einige Realkennzeichen auf, ebenso die Be- schreibung, wie sie später in einem Raum festgehalten und vergewaltigt worden sei. Auch die Vorbringen betreffend erneute Festhaltung, die Schläge und die wiederholte Vergewaltigung wiesen einzelne Realkenn- zeichen auf. Ebenso enthalte die Wiedergabe ihrer schwierigen Situation, als sie nach der Ausreise ihres Mannes keine engen Bezugspersonen mehr gehabt habe, überzeugende Elemente. Gänzlich vage bleibe demge- genüber ihre Darstellung, wie und wohin sie bei ihren beiden geltend ge- machten Festnahmen mitgenommen worden sei und welche Fragen ihr gestellt worden seien. Auch auf explizite Nachfrage hin habe sie diese Punkte in keiner Weise vertiefen können. Ebenso undifferenziert und de- tailarm habe sie die weitere Behördensuche nach ihr wiedergegeben. Bei diesen Punkten entstehe nicht der Eindruck, dass sie von tatsächlich er- lebten Ereignissen spreche. Es sei daher nicht auszuschliessen, dass sie ein- oder zweimal sexuelle Übergriffe erlebt habe und sie einmal in ihrem Haus bedroht worden sei. Die geltend gemachten Umstände dieser Ereig- nisse und die angebliche Verbindung mit den Tätigkeiten ihres Mannes seien dagegen nicht glaubhaft. Folglich sei das Vorbringen ebenfalls nicht glaubhaft, dass sie nach seiner Ausreise wegen dessen Tätigkeiten von den Behörden gesucht und misshandelt worden sei. Die vorgebrachte flüchtlingsrechtlich relevante Motivation der Täter bei den geschilderten Übergriffen könne folglich den Anforderungen an die Glaubhaftigkeit nicht genügen. Der Vollständigkeit halber sei anzumerken, dass selbst bei un- terstellter Glaubhaftigkeit der Umstände der geltend gemachten Vergewal- tigungen kein Hinweis gegeben sei, dass sie diesbezüglich heute noch mit Verfolgung rechnen müsse. Diese Ereignisse hätten 2014 – rund vier Jahre vor ihrer Ausreise – stattgefunden. Die geltend gemachten Anrufe habe sie nach einer Weile nicht mehr entgegengenommen und die beiden Perso- nen, die sie oft besucht hätten, habe sie nach der zweiten Vergewaltigung</w:t>
      </w:r>
    </w:p>
    <w:p>
      <w:r>
        <w:t>E-3314/2021 Seite 14 von 2014 nicht mehr gesehen. Auch sonstige direkte Kontakte mit Behör- denvertretern nach 2014 habe sie nicht mehr erwähnt und auch keine kon- kreten Probleme in Bezug auf ihren Alltag von 2014 bis 2018 vorgebracht. Ihre Angabe, es habe drei bis vier Jahre gedauert, ihre Ausreise zu organi- sieren, spreche ebenfalls gegen das Vorliegen einer akuten Bedrohung. Diesbezüglich sei nicht ersichtlich, weshalb sie bei einer solchen nicht frü- her habe ausreisen können. Das Vorbringen sei deshalb auch flüchtlings- rechtlich nicht relevant. Die sri-lankischen Behörden wiesen gegenüber Personen tamilischer Ethnie, welche nach einem Auslandaufenthalt nach Sri Lanka zurückkehrten, eine erhöhte Wachsamkeit auf. Die Zugehörigkeit zur tamilischen Ethnie und die Landesabwesenheit reichten jedoch ge- mäss herrschender Praxis nicht aus, um von Verfolgungsmassnahmen bei der Rückkehr der Beschwerdeführerin auszugehen. Ebenfalls sei nicht da- von auszugehen, dass sie aufgrund des blossen Umstands, dass sie gel- tend mache, in der Schweiz exilpolitisch aktiv zu sein und Narben zu ha- ben, in den Augen der sri-lankischen Sicherheitsbehörden als Person gelte, die eine besonders enge Beziehung zu den LTTE gepflegt habe. Die angeblichen exilpolitischen Aktivitäten habe sie nicht weiter ausgeführt. Auch die geltend gemachten Verbindungen verschiedener Verwandter zu den LTTE führten zu keiner anderen Einschätzung. Sie mache im Schrei- ben vom 19. März 2021 geltend, ihr in der Schweiz als Flüchtling anerkann- ter Bruder sei jahrelang für die LTTE tätig gewesen. Dies widerspreche je- doch explizit den Angaben ihres Bruders in seiner Anhörung, wonach er bei den LTTE lediglich ein 45 Tage dauerndes Training absolviert habe und kurz vor dessen Ende geflohen sei. Es gebe keinen Grund zur Annahme, dass sie wegen dieser sehr kurzen Zeit ihres Bruders bei den LTTE heute mit Problemen rechnen müsse, zumal sie solche Probleme auch bis zu ihrer Ausreise von 2018 offenbar nicht gehabt habe. Schliesslich belegten auch die verschiedenen eingereichten Todeszertifikate von Verwandten nicht, dass diese Verbindungen zu den LTTE gehabt hätten.</w:t>
      </w:r>
    </w:p>
    <w:p>
      <w:r>
        <w:rPr>
          <w:b/>
        </w:rPr>
        <w:t>E. 7.2</w:t>
      </w:r>
    </w:p>
    <w:p>
      <w:r>
        <w:t>Die Beschwerdeführerin erwidert in ihrer Beschwerde im Wesentlichen, bei einer korrekten Glaubhaftigkeitsprüfung betreffend ihre gesamte Fami- lie wäre sofort aufgefallen, dass sämtliche Vorbringen ihres Ehemannes belegt oder aber glaubhaft gemacht worden seien. Bei der äusserst man- gelhaften Glaubhaftigkeitsprüfung im Verfahren ihres Ehemannes hätten wiederum auch ihre Aussagen mitberücksichtigt werden müssen. Erst da- mit entstehe ein stringentes Bild der gesamten Vorfluchtgeschichte ihrer Familie. Bei kumulativer Betrachtung sämtlicher Beweismittel und Schilde- rungen ihrerseits und ihres Ehemannes seien sämtliche Vorbringen entwe- der durch objektive Beweismittel belegt oder zumindest glaubhaft gemacht</w:t>
      </w:r>
    </w:p>
    <w:p>
      <w:r>
        <w:t>E-3314/2021 Seite 15 worden. Dass sie einer asylrelevanten Reflexverfolgung ausgesetzt gewe- sen sei, ergebe sich direkt aus den Ausführungen in der Verwaltungsbe- schwerde ihres Ehemannes. Sie stamme aus einer LTTE-Familie, ihr Bru- der sei jahrelang für die LTTE tätig gewesen und lebe heute als anerkann- ter Flüchtling in der Schweiz. Hinzu komme, dass sie mit einem ehemaligen LTTE-Mitglied der (…)abteilung der LTTE verheiratet sei. Die familiären LTTE-Verbindungen seien unbestritten und belegt. Ferner sei sie mehrfach von den sri-lankischen Sicherheitskräften mitgenommen, befragt und bru- tal vergewaltigt worden. Da sie sich durch ihre Flucht dem Zugriff durch die sri-lankischen Sicherheitskräfte entzogen habe, sei aus der Verfolgerper- spektive anzunehmen, dass sie über mehr Informationen verfüge, als sie bisher zugegeben habe. Vor dem Hintergrund ihrer Ehe mit einem LTTE- Mitglied und ihrer LTTE-Familie müsse mit an Sicherheit grenzender Wahr- scheinlichkeit davon ausgegangen werden, dass sie heute auf der Stopp- Liste oder der «Wacht-Liste» der sri-lankischen Behörden registriert sei. Ferner sei sie in der Schweiz exilpolitisch aktiv und habe eine Narbe am Fuss. Zudem verrate ihr Gang, dass sie zu einem früheren Zeitpunkt ein- mal verletzt worden sei. Ihr Gang würde am Flughafen auffallen und sie würde einer intensiveren Kontrolle unterzogen werden. Auch halte sie sich über eine lange Zeit schon in der Schweiz auf und besitze keine Einreise- papiere für Sri Lanka. Damit erfülle sie sämtliche vom BVGer definierten Risikofaktoren. Weiter gelte es zu ermitteln, inwieweit aufgrund der erlitte- nen sexuellen Misshandlungen in Zukunft auch bei nur niederschwelligen künftigen Verfolgungen aufgrund ihrer erheblichen psychischen Traumati- sierung von der Annahme der Flüchtlingseigenschaft auszugehen sei. Ebenfalls müsse eine geschlechtsspezifische Verfolgung berücksichtigt werden.</w:t>
      </w:r>
    </w:p>
    <w:p>
      <w:r>
        <w:rPr>
          <w:b/>
        </w:rPr>
        <w:t>E. 7.3</w:t>
      </w:r>
    </w:p>
    <w:p>
      <w:r>
        <w:t>In der Stellungnahme vom 1. September 2021 ergänzt die Beschwer- deführerin, ihr schlechter Gesundheitszustand führe insbesondere auf- grund der Traumatisierung zu einer erhöhten subjektiven Verfolgungsemp- findlichkeit und damit zur Annahme der Flüchtlingseigenschaft.</w:t>
      </w:r>
    </w:p>
    <w:p>
      <w:r>
        <w:rPr>
          <w:b/>
        </w:rPr>
        <w:t>E. 8.1</w:t>
      </w:r>
    </w:p>
    <w:p>
      <w:r>
        <w:t>Was die Vorfluchtgründe anbelangt, gelingt es auf Beschwerdeebene nicht aufzuzeigen, inwiefern die vorinstanzliche Glaubhaftigkeitsprüfung und Beweiswürdigung Bundesrecht verletzen soll. Solches ist auch nach Durchsicht der Akten durch das Gericht nicht ersichtlich. Vielmehr ist in Übereinstimmung mit der Vorinstanz festzustellen, dass die Vorflucht- gründe den Anforderungen an das Glaubhaftmachen nicht standzuhalten vermögen, weshalb diesbezüglich vorab auf die zutreffenden</w:t>
      </w:r>
    </w:p>
    <w:p>
      <w:r>
        <w:t>E-3314/2021 Seite 16 vorinstanzlichen Erwägungen zu verweisen ist. Die Beschwerdeführerin stellt sich zur Glaubhaftigkeitsprüfung der Vorinstanz lediglich auf den Standpunkt, diese «beschränke sich in der angefochtenen Verfügung auf einen unzulässigen Umkehrschluss», wonach von der Unglaubhaftigkeit der Vorbringen ihres Ehemannes auf die Unglaubhaftigkeit der Vorbringen betreffend ihre Verfolgung geschlossen werde. Dies ist unzutreffend, wird in der angefochtenen Verfügung doch eine eigenständige Glaubhaftigkeits- prüfung der Vorbringen der Beschwerdeführerin durchgeführt; ein Umkehr- schluss von der Bewertung der Vorbringen ihres Ehemannes auf die Glaubhaftigkeit ihrer eigenen Vorbringen wird, entgegen der Behauptung in der Beschwerde, demgegenüber nicht gezogen.</w:t>
      </w:r>
    </w:p>
    <w:p>
      <w:r>
        <w:rPr>
          <w:b/>
        </w:rPr>
        <w:t>E. 8.2</w:t>
      </w:r>
    </w:p>
    <w:p>
      <w:r>
        <w:t>Zu prüfen bleibt, ob der Beschwerdeführerin bei einer Rückkehr nach Sri Lanka ernsthafte Nachteile drohen würden.</w:t>
      </w:r>
    </w:p>
    <w:p>
      <w:r>
        <w:rPr>
          <w:b/>
        </w:rPr>
        <w:t>E. 8.2.1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bei denen der Eintrag den Hinweis auf eine Verhaftung beziehungsweise einen Strafregistereintrag im Zusammenhang mit einer tatsächlichen oder vermuteten Verbindung zu den LTTE enthalte. Entspre- chendes gelte für sri-lankische Staatsangehörige, die sich im Ausland</w:t>
      </w:r>
    </w:p>
    <w:p>
      <w:r>
        <w:t>E-3314/2021 Seite 17 regimekritisch betätigt hätten (vgl. a.a.O. E. 8). Im Zusammenhang mit der aktuellen politischen Lage in Sri Lanka ist festzuhalten, dass sich das Bun- desverwaltungsgericht der jüngeren Veränderungen – insbesondere im Zu- sammenhang mit dem Machtwechsel nach den Präsidentschaftswahlen im November 2019 – bewusst ist. Es beobachtet die Entwicklungen aufmerk- sam und berücksichtigt sie bei der Entscheidfindung. Zum heutigen Zeit- punkt gibt es keinen Grund zur Annahme, dass seit dem Machtwechsel in Sri Lanka ganze Bevölkerungsgruppen kollektiv einer Verfolgungsgefahr ausgesetzt wären. Unter diesen Umständen ist im Einzelfall zu prüfen, ob ein persönlicher Bezug der asylsuchenden Personen zur Präsidentschafts- wahl vom 16. November 2019 respektive deren Folgen besteht (vgl. [statt vieler]: Urteil des BVGer D-4668/2021 vom 9. November 2021 E. 8.5 sowie Referenzurteil des Bundesverwaltungsgerichts E-1866/2015 vom 15. Juli 2016; Human Rights Watch [HRW], Sri Lanka: Families of "Disappeard" Threatened, 16.02.2020). Die Wahl am 20. Juli 2022 von Ranil Wickreme- singhe zum Nachfolger des abgetretenen Gotabaya Rajapaksa als neuen Staatspräsidenten ändert vorerst nichts an der bisherigen Lageeinschät- zung, ist dieser doch Teil der alten politischen Elite. Die von der Beschwerdeführerin in der Beschwerde skizzierte Lage in Sri Lanka ändert ebenfalls nichts an der bisherigen Lageeinschätzung (vgl. Urteil des BVGer E-1467/2020 vom 26. Mai 2023 E. 6.2 m.w.H.).</w:t>
      </w:r>
    </w:p>
    <w:p>
      <w:r>
        <w:rPr>
          <w:b/>
        </w:rPr>
        <w:t>E. 8.2.2</w:t>
      </w:r>
    </w:p>
    <w:p>
      <w:r>
        <w:t>Wie bereits das SEM kommt auch das Bundesverwaltungsgerichts zum Schluss, dass die Asylvorbringen des Ehemanns der Beschwerdefüh- rerin unglaubhaft sind, insbesondere auch seine geltend gemachten Sup- portleistungen zu Gunsten der LTTE (vgl. heutiges Urteil des BVGer E-3313/2021 E. 8.1, in welchem die Beschwerde von R.S. abgewiesen wird). Im Übrigen ist betreffend die LTTE-Verbindungen ihres Bruders auf die ausführlichen Ausführungen in der angefochtenen Verfügung auf Seite 6 zu verweisen, welchen die Beschwerdeführerin in ihrer Beschwerde nichts entgegenhält. Die lediglich behauptungsweise dargelegten exilpoli- tischen Tätigkeiten wurden auch in der Beschwerde nicht weiter substanti- iert respektive mit Beweismitteln untermauert. Es muss somit nicht davon ausgegangen werden, die Beschwerdeführerin habe sich in einer Weise exilpolitisch exponiert, welcher ein überzeugter Aktivismus mit dem Ziel der Wiederbelebung des tamilischen Separatismus gemäss dem Referenzur- teil zugeschrieben wird. Daher ist auch nicht von einem Eintrag in die Stop- oder Watch-List auszugehen. Schliesslich besteht kein Grund zur An- nahme eines aktuellen relevanten Verfolgungsrisikos wegen ihrer Zugehö- rigkeit zur tamilischen Ethnie, der geltend gemachten Narben und aufgrund</w:t>
      </w:r>
    </w:p>
    <w:p>
      <w:r>
        <w:t>E-3314/2021 Seite 18 ihrer mehrjährigen Landesabwesenheit sowie des Fehlens ordentlicher Identitätspapiere. In Würdigung sämtlicher Umstände ist somit anzuneh- men, dass die Beschwerdeführerin von der sri-lankischen Regierung nicht zu jener kleinen Gruppe gezählt wird, die bestrebt ist, den tamilischen Se- paratismus wieder aufleben zu lassen, und so eine Gefahr für den sri-lan- kischen Einheitsstaat darstellt. Es ist – auch unter Berücksichtigung der neusten Entwicklungen in Sri Lanka – nicht davon auszugehen, dass der Beschwerdeführerin im Falle einer Rückkehr ernsthafte Nachteile im Sinne von Art. 3 AsylG drohen würde.</w:t>
      </w:r>
    </w:p>
    <w:p>
      <w:r>
        <w:rPr>
          <w:b/>
        </w:rPr>
        <w:t>E. 8.3</w:t>
      </w:r>
    </w:p>
    <w:p>
      <w:r>
        <w:t>Zusammenfassend hat die Beschwerdeführerin nichts vorgebracht, was geeignet wäre, ihre Flüchtlingseigenschaft nachzuweisen oder zumin- dest glaubhaft zu machen. Die Vorinstanz hat ihr Asylgesuch zu Recht ab- 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10.3</w:t>
      </w:r>
    </w:p>
    <w:p>
      <w:r>
        <w:t>Im Verfahren E-3313/2021 (N […]), welches mit dem vorliegenden Verfahren zeitlich koordiniert wird (vgl. a.a.O. E. 3), wird mit heutigem Urteil festgestellt, dass der Vollzug der Wegweisung des minderjährigen Sohnes</w:t>
      </w:r>
    </w:p>
    <w:p>
      <w:r>
        <w:t>E-3314/2021 Seite 19 C._______ als unzumutbar im Sinne von Art. 83 Abs. 4 AIG zu qualifizieren ist, da bei ihm für den Fall einer zwangsweisen Rückkehr ins Heimatland eine konkrete Gefährdung seiner ohnehin bereits angeschlagenen psychi- schen Gesundheit und Weiterentwicklung infolge Entwurzelung anzuneh- men ist (vgl. a.a.O. E. 11.3). Unter Berücksichtigung des Grundsatzes der Einheit der Familie (Art. 44 AsylG) werden die übrigen Beschwerdeführen- den des genannten Verfahrens – der Ehemann der Beschwerdeführerin und dessen jüngerer Sohn – praxisgemäss in die vorläufige Aufnahme des Sohnes C._______ einbezogen.</w:t>
      </w:r>
    </w:p>
    <w:p>
      <w:r>
        <w:rPr>
          <w:b/>
        </w:rPr>
        <w:t>E. 10.4</w:t>
      </w:r>
    </w:p>
    <w:p>
      <w:r>
        <w:t>Ebenso wird im Sinne der Einheit der Familie (Art. 44 AsylG) auch die Beschwerdeführerin des vorliegenden Verfahrens gemeinsam mit ihrer Tochter B._______ praxisgemäss in die vorläufige Aufnahme des Sohnes C._______ einbezogen (vgl. bereits EMARK 1995 Nr. 24 E. 10 f. und statt vieler das Urteil BVGer D-4108/2022 vom 12. Dezember 2023 E. 10.2), zu- mal sich auch für diese Familienmitglieder keinerlei Hinweise auf Aus- schlussgründe ergeben.</w:t>
      </w:r>
    </w:p>
    <w:p>
      <w:r>
        <w:rPr>
          <w:b/>
        </w:rPr>
        <w:t>E. 10.5</w:t>
      </w:r>
    </w:p>
    <w:p>
      <w:r>
        <w:t>Ob der Vollzug der Wegweisung der Beschwerdeführerin auch aus einem anderen Grund als unzumutbar zu qualifizieren gewesen wäre, kann ebenso offenbleiben wie die Frage nach dem Vorliegen allfälliger weiterer Vollzugshindernisse (vgl. E. 10.2 hiervor).</w:t>
      </w:r>
    </w:p>
    <w:p>
      <w:r>
        <w:rPr>
          <w:b/>
        </w:rPr>
        <w:t>E. 11.1</w:t>
      </w:r>
    </w:p>
    <w:p>
      <w:r>
        <w:t>Bei diesem Ausgang des Verfahrens – der praxisgemäss als hälftiges Obsiegen und hälftiges Unterliegen einzustufen ist – wären der Beschwer- deführerin reduzierte Verfahrenskosten aufzuerlegen (Art. 63 Abs. 1 VwVG). Aufgrund des hälftigen Obsiegens ergibt sich jedoch, dass ihre Rechtsbegehren im Zeitpunkt der Beschwerdeeinreichung nicht als aus- sichtslos zu betrachten waren. Aufgrund der Sachlage ist zudem von ihrer Bedürftigkeit auszugehen. Folglich ist das mit der Beschwerde gestellte Gesuch um Gewährung der unentgeltlichen Prozessführung (Art. 65 Abs. 1 VwVG) gutzuheissen. Es sind demnach keine (reduzierten) Verfahrenskos- ten zu erheben.</w:t>
      </w:r>
    </w:p>
    <w:p>
      <w:r>
        <w:rPr>
          <w:b/>
        </w:rPr>
        <w:t>E. 11.2.1</w:t>
      </w:r>
    </w:p>
    <w:p>
      <w:r>
        <w:t>In der Kostennote vom 25. August 2021 wurde ein zeitlicher Vertre- tungsaufwand von insgesamt 17.68 Stunden und Auslagen von Fr. 22.40 geltend gemacht, ausgehend von einem Stundenansatz von Fr. 240.–. Die Eingaben der Beschwerdeführerin vom 1. und 27. September 2021 wurden darin noch nicht berücksichtigt, weshalb der zeitliche Vertretungsaufwand</w:t>
      </w:r>
    </w:p>
    <w:p>
      <w:r>
        <w:t>E-3314/2021 Seite 20 um zwei Stunden und die Auslagen um Fr. 10.– erhöht werden, was total einen Vertretungsaufwand von 19.68 Stunden und Auslagen von Fr. 32.40 ergeben.</w:t>
      </w:r>
    </w:p>
    <w:p>
      <w:r>
        <w:rPr>
          <w:b/>
        </w:rPr>
        <w:t>E. 11.2.2</w:t>
      </w:r>
    </w:p>
    <w:p>
      <w:r>
        <w:t>Hinsichtlich des Unterliegens betreffend Flüchtlingseigenschaft und im Asylpunkt ist auch das Gesuch in der Beschwerde um amtliche Rechts- verbeiständung gutzuheissen (Art. 102m Abs. 1 Bst. a AsylG) und der Rechtsvertreter der Beschwerdeführerin, Rechtsanwalt Gabriel Püntener, als amtlicher Rechtsbeistand einzusetzen. Der in der Kostennote vom 25. August 2021 aufgeführte Stundensatz von Fr. 240.- ist auf Fr. 220.– zu reduzieren und dem amtlichen Rechtsbeistand folglich ein amtliches Ho- norar von Fr. 2'349.– (inkl. Auslagen und Mehrwertsteuerzuschlag im Sinne von Art. 9 Abs. 1 Bst. c des Reglements vom 21. Februar 2008 über die Kosten und Entschädigungen vor dem Bundesverwaltungsgericht [VGKE, SR 173.320.2]) zu entrichten.</w:t>
      </w:r>
    </w:p>
    <w:p>
      <w:r>
        <w:rPr>
          <w:b/>
        </w:rPr>
        <w:t>E. 11.3</w:t>
      </w:r>
    </w:p>
    <w:p>
      <w:r>
        <w:t>Soweit die Beschwerdeführerin (zur Hälfte) obsiegt, ist ihr zulasten des SEM eine reduzierte Parteientschädigung zuzusprechen (Art. 64 VwVG und Art. 7 Abs. 2 VGKE) und gemäss Kostennote vom 25. August 2021 von einem Honorar von Fr. 5’118.– auszugehen. Gestützt auf die in Betracht zu ziehenden Bemessungsfaktoren (Art. 8 ff. VGKE) ist zulasten der Vorinstanz eine reduzierte Parteientschädigung von insgesamt Fr. 2’559.– (inkl. Auslagen und Mehrwertsteuerzuschlag im Sinne von Art. 9 Abs. 1 Bst. c VGKE) zuzusprechen.</w:t>
      </w:r>
    </w:p>
    <w:p>
      <w:r>
        <w:t>(Dispositiv nächste Seite)</w:t>
      </w:r>
    </w:p>
    <w:p>
      <w:r>
        <w:t>E-3314/2021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