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E-3304/2013 vom 12. Februar 2014</w:t>
      </w:r>
    </w:p>
    <w:p>
      <w:r>
        <w:t>Bundesverwaltungsgericht, 2014-02-12, DE</w:t>
      </w:r>
    </w:p>
    <w:p>
      <w:r>
        <w:rPr>
          <w:b/>
        </w:rPr>
        <w:t xml:space="preserve">Quelle: </w:t>
      </w:r>
      <w:r>
        <w:t>https://mcp.opencaselaw.ch/entscheid/bvger_E-3304_2013</w:t>
      </w:r>
    </w:p>
    <w:p>
      <w:r>
        <w:t>FR: TAF E-3304/2013 du 12 février 2014</w:t>
      </w:r>
    </w:p>
    <w:p>
      <w:r>
        <w:t>IT: TAF E-3304/2013 del 12 febbraio 2014</w:t>
      </w:r>
    </w:p>
    <w:p>
      <w:pPr>
        <w:pStyle w:val="Heading2"/>
      </w:pPr>
      <w:r>
        <w:t>Regeste</w:t>
      </w:r>
    </w:p>
    <w:p>
      <w:r>
        <w:t>Nichteintreten auf Asylgesuch (Papierlosigkeit)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so auch vorliegend - endgültig (Art. 83 Bst. d Ziff. 1 des Bundesgerichtsgesetzes vom 17. Juni 2005 [BGG, SR 173.110]; Art. 105 AsylG). Der Beschwerdeführer ist als Verfügungsadressat zur Beschwerdeführung legitimiert (Art. 48 VwVG). Auf die fristgerecht eingereichte Beschwerde (Art. 108 Abs. 2 AsylG) ist - vorbehältlich der nachfolgenden Erwägungen - einzutreten.</w:t>
      </w:r>
    </w:p>
    <w:p>
      <w:r>
        <w:rPr>
          <w:b/>
        </w:rPr>
        <w:t>E. 2.1</w:t>
      </w:r>
    </w:p>
    <w:p>
      <w:r>
        <w:t>Das Bundesverwaltungsgericht überprüft die angefochtene Verfügung auf Verletzung von Bundesrecht sowie unrichtige und unvollständige Feststellung des rechtserheblichen Sachverhalts (Art. 106 Abs. 1 AsylG).</w:t>
      </w:r>
    </w:p>
    <w:p>
      <w:r>
        <w:rPr>
          <w:b/>
        </w:rPr>
        <w:t>E. 2.2</w:t>
      </w:r>
    </w:p>
    <w:p>
      <w:r>
        <w:t>Die Beschwerdeinstanz ist nicht an die Beschwerdebegründung gebunden (Art. 62 Abs. 4 VwVG). Sie kann die Beschwerde auch aus anderen als den geltend gemachten Gründen gutheissen oder den angefochtenen Entscheid im Ergebnis mit einer Begründung bestätigen, die von jener der Vorinstanz abweicht (vgl. BVGE 2007/41 E. 2 S. 528 f.).</w:t>
      </w:r>
    </w:p>
    <w:p>
      <w:r>
        <w:rPr>
          <w:b/>
        </w:rPr>
        <w:t>E. 2.3</w:t>
      </w:r>
    </w:p>
    <w:p>
      <w:r>
        <w:t>Die Beschwerde ist im Verfahren einzelrichterlicher Zuständigkeit mit Zustimmung eines zweiten Richters beziehungsweise einer zweiten Richterin zu behandeln, weil sie sich im Ergebnis als offensichtlich begründet erweist (Art. 111 Bst. e AsylG).</w:t>
      </w:r>
    </w:p>
    <w:p>
      <w:r>
        <w:rPr>
          <w:b/>
        </w:rPr>
        <w:t>E. 2.4</w:t>
      </w:r>
    </w:p>
    <w:p>
      <w:r>
        <w:t>Auf einen Schriftenwechsel wurde gestützt auf Art. 111a Abs. 1 AsylG verzichtet.</w:t>
      </w:r>
    </w:p>
    <w:p>
      <w:r>
        <w:rPr>
          <w:b/>
        </w:rPr>
        <w:t>E. 3.1</w:t>
      </w:r>
    </w:p>
    <w:p>
      <w:r>
        <w:t>Gegenstand des vorliegenden Verfahrens ist ein Nichteintretensentscheid in Anwendung von aArt. 32 Abs. 2 Bst. a AsylG (zur Frage des anwendbaren Rechts vgl. nachfolgende E. 4). Bei Beschwerden gegen Nichteintretensentscheide, mit denen es das BFM ablehnte, das Asylgesuch auf seine Begründetheit hin zu überprüfen (Art. 32 - 35a AsylG), war die Beurteilungskompetenz der Beschwerdeinstanz grundsätzlich auf die Frage beschränkt, ob die Vorinstanz zu Recht auf das Asylgesuch nicht eingetreten ist (vgl. BVGE 2011/9 E. 5 S. 116). Demnach enthielt sich die Beschwerdeinstanz - sofern sie den Nichteintretensentscheid als unrechtmässig erachtete - einer selbstständigen materiellen Prüfung, hob die angefochtene Verfügung auf und wies die Sache zu neuer Entscheidung an die Vorinstanz zurück (vgl. BVGE 2007/8 E. 2.1 S. 73 m.H.a. Entscheidungen und Mitteilungen der [vormaligen] Schweizerischen Asylrekurskommission [EMARK] 2004 Nr. 34 E. 2.1. S. 240 f.). Folglich ist auf den Eventualantrag, es sei die Flüchtlingseigenschaft festzustellen, nicht einzutreten.</w:t>
      </w:r>
    </w:p>
    <w:p>
      <w:r>
        <w:rPr>
          <w:b/>
        </w:rPr>
        <w:t>E. 3.2</w:t>
      </w:r>
    </w:p>
    <w:p>
      <w:r>
        <w:t>Beim Nichteintretenstatbestand nach aArt. 32 Abs. 2 Bst. a AsylG bestand indes die Besonderheit, dass das BFM - obwohl kein materielles Asylverfahren vorliegt - im Rahmen einer summarischen Prüfung sowohl das offenkundige Nichterfüllen der Flüchtlingseigenschaft im Sinne von Art. 3 AsylG als auch das offenkundige Fehlen von Wegweisungsvollzugshindernissen festzustellen hatte, soweit dies im Rahmen einer summarischen Prüfung möglich war (vgl. dazu BVGE 2007/8 E. 5.6.5 f.). Zum heutigen Zeitpunkt müssen - aus nachfolgend aufgezeigten Gründen - sowohl das offenkundige Nichterfüllen der Flüchtlingseigenschaft als auch das offenkundige Fehlen von Wegweisungsvollzugshindernissen verneint werden bzw. sind zusätzliche Abklärungen erforderlich. Deshalb bleibt die Anwendung von aArt. 32 Abs. 2 Bst. a AsylG versagt.</w:t>
      </w:r>
    </w:p>
    <w:p>
      <w:r>
        <w:rPr>
          <w:b/>
        </w:rPr>
        <w:t>E. 3.3</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bekannt gewordene Vorfälle zurück. Die sri-lankischen Behörden hatten offenbar tamilische Rückkehrer bei der Wiedereinreise in Haft genommen. Daraufhin hat die Vorinstanz in Aussicht gestellt, nicht nur die beiden Vorfälle, sondern auch eine allfällige Veränderung der allgemeinen Situation in Sri Lanka vertieft abzuklären. Die Vorinstanz geht damit offenbar selber davon aus, dass der Sachverhalt, wie er der Verfügung vom 4. April 2013 zugrunde liegt, nicht vollständig festgestellt ist. Es besteht kein Zweifel, dass sich eine neue Lagebeurteilung vor Ort auf die Feststellung des rechtserheblichen Sachverhalts im vorliegenden Verfahren auswirken kann, sei es hinsichtlich der Frage nach dem angeblich offensichtlichen Nichterfüllen der Flüchtlingseigenschaft, sei es im Wegweisungsvollzugspunkt. Solche weiteren Abklärungen sind im Rahmen eines Nichteintretensentscheides im Sinne von Art. 32 Abs. 2 Bst. a AsylG aber von vornherein ausgeschlossen (vgl. Art. 32 Abs. 3 Bst. c AsylG).</w:t>
      </w:r>
    </w:p>
    <w:p>
      <w:r>
        <w:rPr>
          <w:b/>
        </w:rPr>
        <w:t>E. 3.4</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Bei vorliegenden Verfahrenskonstellation - Anfechtungsgegenstand ist ein Nichteintretensentscheid nach aArt. 32 Abs. 2 Bst. a AsylG - fällt praxisgemäss aber ausser Betracht, dass die fehlende Entscheidungsreife durch das Gericht hergestellt wird. Der vorliegende Mangel einer unvollständigen Sachverhaltsfeststellung führt im Falle von Nichteintretensentscheiden in jedem Fall zur Kassation der angefochtenen Verfügung. 4.Nach diesen Erwägungen kann offen gelassen werden, ob in hängigen Beschwerdeverfahren, die Nichteintretensentscheide gemäss aArt. 32 Abs. 2 Bst. a AsylG zum Gegenstand haben, übergangsrechtlich noch das alte Recht zur Anwendung gelangt oder nicht. Denn das vorliegende Verfahren kann - unabhängig davon, wie die Frage nach dem intertemporalen Recht zu beantworten ist - nicht anders als mit einer Kassation der angefochtenen Verfügung und einer Rückweisung der Sache an die Vorinstanz zur vollständigen Sachverhaltsfeststellung und zu neuer Entscheidung ausgehen. 5.Die Beschwerde ist nach dem Gesagten gutzuheissen, soweit darauf einzutreten ist. Die angefochtene Verfügung ist aufzuheben und die Sache zur vollständigen Sachverhaltsfeststellung sowie zu neuer Entscheidung an die Vorinstanz zurückzuweisen. Die vorinstanzlichen Akten und das Beschwerdedossier, welches ebenfalls Prozessstoff des vorinstanzlichen Verfahrens bilden wird, werden dem BFM zugestellt. Bei dieser Sachlage kann auf eine Auseinandersetzung mit den Beschwerdevorbringen im Einzelnen verzichtet werden, zumal dem Beschwerdeführer angesichts der Rückweisung der Sache an das BFM kein Nachteil erwächst. 6.Bei diesem Ausgang des Verfahrens sind keine Kosten zu erheben (Art. 63 VwVG). 7.Dem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verhältnismässig hohen Parteikosten zuzusprechen. Den in der Kostennote vom 21. November 2013 ausgewiesenen zeitlichen Vertretungsaufwand erachtet das Gericht für unangemessen, weshalb er zu reduzieren ist. Namentlich zu berücksichtigen, dass zahlreiche Beweismittel (insbesondere Länderberichte) keinen individuellen Bezug zum Beschwerdeführer aufweisen und daher nur mittelbar für das vorliegende Beschwerdeverfahren aussagekräftig sind. Ferner sind weite Züge der Beschwerdebegründung ebenso wie zahlreiche Beweismittel, soweit sie auf die allgemeine Lage in Sri Lanka Bezug nehmen, in diversen vom mandatierten Rechtsvertreter geführten Beschwerdeverfahren vor dem Bundesverwaltungsgericht in identischer Weise eingereicht worden. Zudem weist der Inhalt der Eingaben teilweise redundante Ausführungen auf. In Anwendung der gesetzlichen Bemessungsfaktoren erscheint eine Parteientschädigung von Fr. 2000.- angemessen.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