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E-3302/2024 vom 28. Mai 2024</w:t>
      </w:r>
    </w:p>
    <w:p>
      <w:r>
        <w:t>Bundesverwaltungsgericht, 2024-05-28, DE</w:t>
      </w:r>
    </w:p>
    <w:p>
      <w:r>
        <w:rPr>
          <w:b/>
        </w:rPr>
        <w:t xml:space="preserve">Quelle: </w:t>
      </w:r>
      <w:r>
        <w:t>https://mcp.opencaselaw.ch/entscheid/bvger_E-3302_2024</w:t>
      </w:r>
    </w:p>
    <w:p>
      <w:r>
        <w:t>FR: TAF E-3302/2024 du 28 mai 2024</w:t>
      </w:r>
    </w:p>
    <w:p>
      <w:r>
        <w:t>IT: TAF E-3302/2024 del 28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([engl.: take back] Art. 23-25 Dublin-III-VO) findet grundsätzlich keine (neue) Zuständigkeitsprüfung nach Kapitel III Dublin-III-VO mehr statt (vgl. zum Ganzen BVGE 2019 VI/7 E. 4-6, 2017 VI/5 E. 6.2 und 8.2.1).</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Abgleich der Fingerabdrücke des Beschwerdeführers ergab, dass er zuletzt am (...) März 2022 in Deutschland um Asyl nachgesucht hatte und im Rahmen eines Wiederaufnahmeverfahrens am (...) April 2024 nach Deutschland überstellt worden war. Das SEM ersuchte deshalb die deutschen Behörden am 10. Mai 2024 um seine Wiederaufnahme. Die deutschen Behörden stimmten dem Ersuchen am 14. Mai 2024 gestützt auf Art. 18 Abs. 1 Bst. d Dublin-III-VO zu. Die grundsätzliche Zuständigkeit Deutschland ist somit gegeben und wird auf Beschwerdeebene auch nicht bestritten.</w:t>
      </w:r>
    </w:p>
    <w:p>
      <w:r>
        <w:rPr>
          <w:b/>
        </w:rPr>
        <w:t>E. 4.2</w:t>
      </w:r>
    </w:p>
    <w:p>
      <w:r>
        <w:t>Das Bundesverwaltungsgericht geht in ständiger Rechtsprechung davon aus, dass das deutsche Asylsystem keine systemischen Mängel im Sinne von Art. 3 Abs. 2 zweiter Satz Dublin-III-VO aufweist (vgl. etwa Urteile des BVGer F-411/2024 vom 29. Januar 2024 E. 4.2; E-1107/2023 vom 6. März 2023; D-1062/2023 vom 28. Februar 2023 E. 3, je m.w.H.). Es wird demnach vermutet, dass dieses Land seine völker- und gemeinschaftsrechtlichen Verpflichtungen einhält. Für eine Änderung dieser Rechtsprechung besteht auch unter Berücksichtigung der Vorbringen des Beschwerdeführers zu seiner Behandlung in Deutschland - er habe nach dem negativen Asylentscheid auf der Strasse geschlafen - keine Veranlassung. Den Akten sind auch keine hinreichenden Gründe für die Annahme zu entnehmen, Deutschland missachte in seinem Fall den Grundsatz des Non-Refoulement und werde ihn zur Ausreise in ein Land zwingen, in dem sein Leib, sein Leben oder seine Freiheit aus einem Grund nach Art. 3 Abs. 1 AsylG gefährdet ist. Ein definitiver Entscheid über ein Asylgesuch und die Wegweisung in das Heimatland stellen jedenfalls nicht per se eine Verletzung des Non-Refoulement-Prinzips dar. Im Bezug auf die Vorbringen des Beschwerdeführers ist in diesem Zusammenhang insbesondere festzustellen, dass er erst auf Beschwerdeebene geltend machte, er sei homosexuell und deshalb bei einer Abschiebung durch die deutschen Behörden in seinem Heimatland Bedrohungen ausgesetzt. Ohnehin müsste er Entsprechendes jedoch gegenüber den deutschen Behörden geltend machen. Auch wenn das Asylverfahren des Beschwerdeführers in Deutschland gemäss seinen Angaben ohne Schutzgewährung abgeschlossen sein sollte, bleibt Deutschland weiterhin für sein Verfahren bis zu einer allfälligen Wegweisung zuständig (vgl. Filzwieser / Sprung, Dublin III-Verordnung, Wien 2014, K.11 zu Art. 18). Dabei liegt es am Beschwerdeführer, Vollzugshindernisse gegebenenfalls bei den zuständigen deutschen Behörden vorzubringen.</w:t>
      </w:r>
    </w:p>
    <w:p>
      <w:r>
        <w:rPr>
          <w:b/>
        </w:rPr>
        <w:t>E. 4.3</w:t>
      </w:r>
    </w:p>
    <w:p>
      <w:r>
        <w:t>Unter diesen Umständen ist die Anwendung von Art. 3 Abs. 2 Dublin-III-VO nicht gerechtfertigt.</w:t>
      </w:r>
    </w:p>
    <w:p>
      <w:r>
        <w:rPr>
          <w:b/>
        </w:rPr>
        <w:t>E. 5.1</w:t>
      </w:r>
    </w:p>
    <w:p>
      <w:r>
        <w:t>Eine Anwendung der Ermessensklausel nach Art. 17 Abs. 1 Dublin-III-VO respektive der - das Selbsteintrittsrecht im Landesrecht konkretisierenden - Bestimmung von Art. 29a Abs. 3 der Asylverordnung 1 vom 11. August 1999 (AsylV 1, SR 142.311) ist im vorliegenden Fall, wie gleich im Detail darzulegen sein wird, ebenfalls nicht angezeigt.</w:t>
      </w:r>
    </w:p>
    <w:p>
      <w:r>
        <w:rPr>
          <w:b/>
        </w:rPr>
        <w:t>E. 5.2</w:t>
      </w:r>
    </w:p>
    <w:p>
      <w:r>
        <w:t>Was den medizinischen Sachverhalt anbelangt ist zunächst festzuhalten, dass der Beschwerdeführer anlässlich des Dublin-Gesprächs angab, er sei gesund. Ergänzend fügte er hinzu, er habe bei seinen Aufenthalten in Deutschland an Kopf- und Augenschmerzen gelitten (SEM-Akte [...]-16/2). Der medizinischen Mitteilung vom 16. Mai 2024 ist zu entnehmen, dass er in der Schweiz am 6. Mai 2024 wegen Schulterschmerzen vom Gesundheitsdienst des Bundesasylzentrums C._______ mit Medikamenten und einer Salbe behandelt worden sei. Seither sei er beim Gesundheitsdienst nicht mehr vorstellig geworden. Es hätten keine weiteren Arzttermine stattgefunden und es seien auch keine geplant (SEM-Akte [...]-18/1). Auf Beschwerdeebene erwähnte er schwerwiegende Gesundheitsprobleme, weil er in Deutschland auf der Strasse habe schlafen müssen, ohne zu substanziieren, um welche Probleme es sich genau handelt. Angesichts der Tatsache, dass er im vorinstanzlichen Verfahren angab, gesund zu sein, und auch der medizinischen Mitteilung keine schwerwiegenden Gesundheitsprobleme entnommen werden können, ist nicht davon auszugehen, dass sein Gesundheitszustand einer Überstellung nach Deutschland entgegensteht. Die zwangsweise Rückweisung von Personen mit gesundheitlichen Problemen stellt nur ganz ausnahmsweise einen Verstoss gegen Art. 3 EMRK dar (vgl. BVGE 2011/9 E. 7 mit Hinweisen auf die damalige Praxis des Europäischen Gerichtshofs für Menschenrechte [EGMR]; Urteil des EGMR Paposhvili gegen Belgien 13. Dezember 2016, Grosse Kammer 41738/10, §§ 180-193 m.w.H., bestätigt durch Savran gegen Dänemark 7. Dezember 2021, Grosse Kammer, 57467/15, §§ 121 ff.). Eine solche Ausnahmesituation ist vorliegend offensichtlich nicht gegeben. Zudem ist anzumerken, dass Deutschland zweifellos über eine ausreichende medizinische Infrastruktur verfügt und verpflichtet ist, den Antragstellenden die erforderliche medizinische Versorgung zugänglich zu machen (Art. 19 Abs. 1 Aufnahmerichtlinie).</w:t>
      </w:r>
    </w:p>
    <w:p>
      <w:r>
        <w:rPr>
          <w:b/>
        </w:rPr>
        <w:t>E. 5.3</w:t>
      </w:r>
    </w:p>
    <w:p>
      <w:r>
        <w:t>Soweit der Beschwerdeführer erst in der Beschwerde geltend macht, sich in Deutschland vor Übergriffen von Gangmitgliedern zu fürchten, da er einen Drogendealer verraten habe, ist festzuhalten, dass keine Anhaltspunkte dafür bestehen, die deutschen Behörden wären nicht in der Lage, dem Beschwerdeführer einen allenfalls nötigen Schutz zukommen zu lassen. Deutschland ist ein Rechtsstaat mit einem funktionierenden Justizsystem und verfügt über schutzwillige und -fähige Polizeibehörden. Deren Hilfe könnte der Beschwerdeführer im Falle einer Bedrohung durch Dritte in Anspruch nehmen.</w:t>
      </w:r>
    </w:p>
    <w:p>
      <w:r>
        <w:rPr>
          <w:b/>
        </w:rPr>
        <w:t>E. 5.4</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 Der Vollständigkeit halber bleibt festzuhalten, dass die Dublin-III-VO den Schutzsuchenden kein Recht einräumt, den ihren Antrag prüfenden Staat selber auszuwählen (vgl. auch BVGE 2010/45 E. 8.3).</w:t>
      </w:r>
    </w:p>
    <w:p>
      <w:r>
        <w:rPr>
          <w:b/>
        </w:rPr>
        <w:t>E. 6</w:t>
      </w:r>
    </w:p>
    <w:p>
      <w:r>
        <w:t>Die Vorinstanz ist angesichts der vorstehenden Erwägungen zu Recht nicht auf das Asylgesuch des Beschwerdeführers eingetreten und hat seine Überstellung nach Deutschland verfügt (vgl. Art. 31a Abs. 1 Bst. b und Art. 44 AsylG). Die Beschwerde ist abzuweisen.</w:t>
      </w:r>
    </w:p>
    <w:p>
      <w:r>
        <w:rPr>
          <w:b/>
        </w:rPr>
        <w:t>E. 7.1</w:t>
      </w:r>
    </w:p>
    <w:p>
      <w:r>
        <w:t>Mit vorliegendem Urteil ist das Beschwerdeverfahren abgeschlossen. Der am 28. Mai 2024 angeordnete provisorische Vollzugsstopp fällt dahin.</w:t>
      </w:r>
    </w:p>
    <w:p>
      <w:r>
        <w:rPr>
          <w:b/>
        </w:rPr>
        <w:t>E. 7.2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