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E-3297/2015 vom 9. Juni 2015</w:t>
      </w:r>
    </w:p>
    <w:p>
      <w:r>
        <w:t>Bundesverwaltungsgericht, 2015-06-09, DE</w:t>
      </w:r>
    </w:p>
    <w:p>
      <w:r>
        <w:rPr>
          <w:b/>
        </w:rPr>
        <w:t xml:space="preserve">Quelle: </w:t>
      </w:r>
      <w:r>
        <w:t>https://mcp.opencaselaw.ch/entscheid/bvger_E-3297_2015</w:t>
      </w:r>
    </w:p>
    <w:p>
      <w:r>
        <w:t>FR: TAF E-3297/2015 du 9 juin 2015</w:t>
      </w:r>
    </w:p>
    <w:p>
      <w:r>
        <w:t>IT: TAF E-3297/2015 del 9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Mit dem vorliegenden Direktentscheid in der Hauptsache werden die prozessualen Begehren betreffend Herstellung der aufschiebenden Wirkung und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Ebenfalls im Rahmen einer Wiedererwägung zu prüfen sind Tatsachen und Beweismittel, die erst nach einem materiellen Beschwerdeentscheid des Bundesverwaltungsgerichts entstanden sind und daher revisionsrechtlich nicht zulässig sind (vgl. den Wortlaut von Art. 123 Abs. 2 Bst. a in fine BGG und BVGE 2013/22, insb. E. 12.3).</w:t>
      </w:r>
    </w:p>
    <w:p>
      <w:r>
        <w:rPr>
          <w:b/>
        </w:rPr>
        <w:t>E. 5.1</w:t>
      </w:r>
    </w:p>
    <w:p>
      <w:r>
        <w:t>Die Beschwerdeführerinnen sind der ausdrücklichen Auffassung, im vorliegenden Wiedererwägungsgesuch machten sie eine nachträglich veränderte Sachlage in Form einer bei der Mutter eingetretenen Verschlechterung des psychischen Gesundheitszustandes mit (...) geltend, welche somit in einem Wiedererwägungsverfahren materiell zu prüfen seien. Das SEM teilt diese Auffassung mit dem Hinweis, dass diese Veränderungen erst nach Ergehen des Urteils des Bundesverwaltungsgerichts vom 24. Februar 2014 eingetreten seien (vgl. angefochtene Verfügung S. 2 unten). Das Bundesverwaltungsgericht stützt diese übereinstimmende Auffassung grundsätzlich ebenfalls. Klarzustellen ist indessen, dass seit Ergehen der ursprünglichen Verfügung nicht nur ein rechtskräftiges materielles Beschwerdeurteil insbesondere betreffend den Vollzug der Wegweisung vorliegt, sondern die Beschwerdeführerinnen ebenso mehrere Wiedererwägungsverfahren durchlaufen haben, die auf ein Rückkommen auf die ursprüngliche Vollzugsanordnung vom 1. November 2013 abzielten. Unter dem Aspekt des aus dem Revisionsrecht des VwVG heranzuziehenden Art. 66 Abs. 3 VwVG kann einem Wiedererwägungsgesuchsteller daher grundsätzlich entgegengehalten werden, er hätte seine zwar nach der ursprünglichen Verfügung entstandenen neuen Vollzugshindernisse unter Beachtung der ihm zumutbaren und pflichtgemässen Sorgfalt und der ihm obliegenden umfassenden Mitwirkungspflicht nach Art. 8 AsylG schon in den seitherigen Wiedererwägungsverfahren geltend machen können. Dieser Umstand schränkt somit die zulässige Neuheit der Sachlage zeitlich zusätzlich ein. Die vorliegend als wiedererwägungsbedeutsames Vollzugshindernis geltend gemachte Verschlechterung des psychischen Gesundheitszustandes der erstrubrizierten Beschwerdeführerin mit (...) auch der anderen Beschwerdeführerinnen ist aber behauptungsgemäss nicht nur nach rechtskräftigem Abschluss des ordentlichen Asylverfahrens (mit Ergehen des Urteils des Bundesverwaltungsgerichts vom 24. Februar 2014) eingetreten, sondern auch nach rechtskräftigem Abschluss der seither angestrengten Wiedererwägungsverfahren. Die Zulässigkeit ist somit gegeben und das SEM ist zurecht auf das Wiedererwägungsgesuch eingetreten, zumal die 30-tägige Einreichungsfrist gewahrt wurde. Nach Prüfung der Akten gelangt das Bundesverwaltungsgericht unter Berücksichtigung der massgeblichen Zeitspanne seit Rechtskraft der unangefochtenen Verfügung des SEM vom 12. Dezember 2014 (Nichteintreten auf das dritte Wiedererwägungsgesuch) zur Erkenntnis, dass das SEM eine wiedererwägungsrelevante Veränderung der Sachlage im Sinne einer vollzugshinderlich gewordenen konkreten Gefährdung der Beschwerdeführerinnen (vorab aus gesundheitlichen Gründen und unter dem Aspekt des Kindeswohls) zutreffend verneint hat. Auf die betreffenden Erwägungen des SEM gemäss angefochtener Verfügung kann zur Vermeidung von Wiederholungen verwiesen werden. Diese sind umfassend, hinlänglich abgestützt und überzeugend. Die substanziell überaus knapp gehaltene Beschwerdeschrift drängt keine andere Betrachtungsweise auf. Die betreffenden Ausführungen beschränken sich in fragmentarischer Weise darauf, drei vorinstanzliche Annahmen (Bestehen eines sozialen Netzes und Finanzierbarkeit einer psychiatrisch-psychotherapeutischen Behandlung in Nigeria sowie fehlende krankheitsbedingte Ursache der Suizidalität) in Abrede zu stellen und hierzu auf beiliegende Berichten je vom 21. Mai 2015 des Hausarztes und der behandelnden Psychotherapeutin zu verweisen. Die Beschwerdeführerinnen verkennen dabei, dass weder eine Psychotherapeutin noch ein Allgemeinmediziner eine Fachkompetenz zur Beurteilung von asylspezifischen Sachverhalten und deren rechtliche Würdigung haben. Diese Kompetenz ist vielmehr den Asylbehörden und -institutionen vorbehalten. Die medizinischen und therapeutischen Fachleute treten vorliegend als solche und nicht als mandatierte Rechtsvertreter auf und setzen sich für ein Bleiberecht der Beschwerdeführerinnen ein. Soweit sie dabei Aussagen über ein soziales Beziehungsnetz der Beschwerdeführerinnen im Heimatland, Kontaktmöglichkeiten zum Ehemann/Vater, Finanzierbarkeit und Organisierbarkeit von medizinischen und therapeutischen Behandlungen, das soziale Umfeld in der Schweiz und in Nigeria, das Kindeswohl oder eine von der Schleppermafia ausgehende Verfolgungsfurcht machen und asylspezifische beziehungsweise wiedererwägungsspezifische Erwägungen des SEM in Kritik nehmen, bleiben ihre Ausführungen unbeachtlich. Soweit daneben fachspezifische Aussagen gemacht werden, fällt vor allem im Bericht der Psychotherapeutin auf, dass die Suizidalität der Beschwerdeführerin ausgeprägt auf eine drohende Ausschaffung fokussiert sei. Gerade in diesem Zusammenhang sind aber speziell die behandelnden und betreuenden Fachleute mit ihrem spezifischen Fachwissen gefordert, um die betroffenen Personen auf das absehbare Ausschaffungsereignis in geeigneter Weise vorzubereiten zu begleiten. Die Beschwerdeführerin selber ist darauf aufmerksam zu machen, dass eine Rückkehr in ihr Heimatland für sie und ihre Kinder nicht nur als Schicksal, sondern als Chance im Hinblick auf eine familiäre Wiedervereinigung und damit einhergehend auf die Verbesserung ihrer sozialen und gesundheitlichen Situation zu betrachten ist. Ergänzend bleibt anzufügen, dass die KESB im Rahmen ihrer Entscheide vom 8. April 2015 (vgl. dort Dispositive jeweils Ziff. 4d) bereits vorsorgliche Massnahmen im Hinblick auf den Wegweisungsvollzug der drei Kinder getroffen und deren Interessenwahrung für dieses Ereignis sichergestellt hat. Soweit die Beschwerdeführerin im Übrigen ihre angeblich bei den Schleppern bestehende hohe Schuldenlast und damit als Vollzugshindernis eine Furcht vor Verfolgung durch die Schlepper ins Feld führt, sind ihr die eigenen Aussagen in der Anhörung vom 14. August 2013 entgegenzuhalten, wonach die Kontaktperson auf die Forderung verzichtet habe (vgl. Aktenstück A35 F105-108).</w:t>
      </w:r>
    </w:p>
    <w:p>
      <w:r>
        <w:rPr>
          <w:b/>
        </w:rPr>
        <w:t>E. 5.2</w:t>
      </w:r>
    </w:p>
    <w:p>
      <w:r>
        <w:t>Schliesslich ist festzuhalten, dass eine Wiedererwägung nicht beliebig zulässig ist. Sie darf namentlich nicht dazu dienen, blosse Urteilskritik zu üben, die Rechtskraft von Verwaltungsentscheiden immer wieder infrage zu stellen oder die Fristen für die Ergreifung von Rechtsmitteln zu umgehen. Künftige an das Bundesverwaltungsgericht gelangende und auf eine Verhinderung des Wegweisungsvollzuges abzielende Eingaben wären daher unter dem verstärkten Augenmerk eines allfälligen Rechtsmissbrauchs zu betrachten.</w:t>
      </w:r>
    </w:p>
    <w:p>
      <w:r>
        <w:rPr>
          <w:b/>
        </w:rPr>
        <w:t>E. 5.3</w:t>
      </w:r>
    </w:p>
    <w:p>
      <w:r>
        <w:t>Nach dem Gesagten ist zusammenfassend nicht von einer wiedererwägungsrelevanten, erheblichen Veränderung der Sachlage auszugehen. Das SEM hat das vierte Wiedererwägungsgesuch zurecht abgewiesen.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sind die Kosten den Beschwerde­führerinnen aufzuerlegen (Art. 63 Abs. 1 VwVG) und auf insgesamt Fr. 1200.- festzusetzen (Art. 1 3 des Reglements vom 21. Februar 2008 über die Kosten und Entschädigungen vor dem Bundesverwaltungsgericht [VGKE, SR 173.320.2]). Das Gesuch um Gewährung der unentgeltlichen Prozessführung nach Art. 65 Abs. 1 ist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