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E-3296/2018 vom 15. Juni 2018</w:t>
      </w:r>
    </w:p>
    <w:p>
      <w:r>
        <w:t>Bundesverwaltungsgericht, 2018-06-15, DE</w:t>
      </w:r>
    </w:p>
    <w:p>
      <w:r>
        <w:rPr>
          <w:b/>
        </w:rPr>
        <w:t xml:space="preserve">Quelle: </w:t>
      </w:r>
      <w:r>
        <w:t>https://mcp.opencaselaw.ch/entscheid/bvger_E-3296_2018</w:t>
      </w:r>
    </w:p>
    <w:p>
      <w:r>
        <w:t>FR: TAF E-3296/2018 du 15 juin 2018</w:t>
      </w:r>
    </w:p>
    <w:p>
      <w:r>
        <w:t>IT: TAF E-3296/2018 del 15 giugno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Mit dem vorliegenden Direktentscheid werden die Gesuche des Beschwerdeführers um Erteilung der aufschiebenden Wirkung und um Beiordnung eines unentgeltlichen Rechtsvertreters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In seinem Wiedererwägungsgesuch machte der Beschwerdeführer geltend, er führe in der Schweiz mit B._______ (N [...]) eine Beziehung. Zufolge der ursprünglichen Zuweisung in unterschiedliche Kantone sei ihnen ein offizielles gemeinsames Zusammenleben verwehrt geblieben. Die Vaterschaft der beiden gemeinsamen Kinder habe er anerkannt und teile mit deren Mutter (seiner Partnerin) die elterliche Sorge. Seine Wegweisung aus der Schweiz verletze deshalb den Grundsatz der Einheit der Familie gemäss Art. 44 Abs. 1 AsylG. Der Wegweisungsvollzug könne nicht losgelöst von seiner Partnerin geprüft werden und das Kindswohl müsse berücksichtigt werden. Seine Partnerin und die gemeinsamen Kinder würden über eine vorläufige Aufnahme verfügen, weshalb er ebenfalls in diese miteinzubeziehen sei.</w:t>
      </w:r>
    </w:p>
    <w:p>
      <w:r>
        <w:rPr>
          <w:b/>
        </w:rPr>
        <w:t>E. 6.2</w:t>
      </w:r>
    </w:p>
    <w:p>
      <w:r>
        <w:t>Die Vorinstanz befand die vorgebrachten Tatsachen und Beweismittel als nicht erheblich im Sinne von Art. 66 Abs. 2 Bst. a VwVG. Bereits im Verlauf seines Asylverfahrens habe es der Beschwerdeführer unterlassen, Angaben zur Beziehung zu seiner Partnerin und zur Geburt seines ersten Sohnes zu machen. Zufolge der nicht standesamtlich durchgeführten Heirat gelte er nach schweizerischem Recht nicht als verheiratet. Aufgrund der kurzen Dauer der Beziehung, insbesondere aufgrund seines Wegzuges nach Abweisung der Beschwerde, könne nicht von einer dauerhaften und stabilen Partnerschaft gesprochen werden. Die Beziehung gelte nicht als eheähnliche Partnerschaft, weshalb er sich nicht auf die Einheit der Familie gemäss Art. 8 EMRK berufen könne. Angesichts seiner geltend gemachten Mittellosigkeit sei zu bezweifeln, dass er die Mutter seiner Kinder in der Schweiz finanziell unterstütze, weshalb es auch an einer finanziellen Verflechtung fehle. Die Kinder würden sich bei der Mutter aufhalten, und er selbst verfüge über kein Obhutsrecht. Die gemeinsame elterliche Sorge vermöge nichts über die von ihm tatsächlich erbrachten Fürsorgeleistungen auszusagen. Den Kontakt zu seinen Kindern könne er auch aus dem Ausland pflegen. Zufolge seines halbjährigen Aufenthalts in Deutschland vermöge er nicht den Eindruck zu erwecken, er wäre an der Einheit der Familie oder am unmittelbaren Kontakt zu den Kindern interessiert.</w:t>
      </w:r>
    </w:p>
    <w:p>
      <w:r>
        <w:rPr>
          <w:b/>
        </w:rPr>
        <w:t>E. 6.3</w:t>
      </w:r>
    </w:p>
    <w:p>
      <w:r>
        <w:t>In seiner Beschwerde macht der Beschwerdeführer geltend, zwischen seiner Partnerin und ihm bestehe eine gelebte eheähnliche Gemeinschaft. Seine Partnerin und seine Kinder würden über kein gefestigtes Anwesenheitsrecht verfügen, weshalb kein Rechtsanspruch gemäss Art. 8 EMRK bestehe. Jedoch sei bei einem bestehenden und tatsächlich gelebten Familienleben unbesehen eines gefestigten Aufenthaltsrechts gemäss Art. 44 Abs. 1 AsylG bei der Anordnung der Wegweisung der Grundsatz der Einheit der Familie zu berücksichtigen. Die vorläufige Aufnahme eines Familienmitglieds führe in der Regel auch zur vorläufigen Aufnahme von dessen Familie. Bei der Entscheidung sei zudem das Kindswohl seiner in der Schweiz wohnhaften Kinder zu berücksichtigen. Auch wenn für Kleinkinder die Mutter die Hauptbezugsperson sein dürfte, so spiele der Vater in deren Leben und für ihre persönliche Entwicklung ebenfalls eine zentrale Rolle. Die angefochtene Verfügung verletze zudem die Begründungspflicht; es werde darin nicht dargelegt, weshalb die Trennung zum Wohl der Kinder im Sinne von Art. 9 des Übereinkommens über die Rechte der Kinder (SR 0.107; KRK) nötig sei. Im Rahmen einer Abwägung würden die Interessen seiner Kinder und seiner Ehefrau an seinem Verbleib in der Schweiz ebenfalls überwiegen. Seine Ehefrau sei mit drei Kindern auf seine Unterstützung angewiesen. Die Erhebung der Gebühren sei deshalb zu Unrecht erfolgt.</w:t>
      </w:r>
    </w:p>
    <w:p>
      <w:r>
        <w:rPr>
          <w:b/>
        </w:rPr>
        <w:t>E. 7.1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insbesondere auch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dazu beispielsweise BVGE 2009/35 E. 6.4.1 m.w.H.).</w:t>
      </w:r>
    </w:p>
    <w:p>
      <w:r>
        <w:rPr>
          <w:b/>
        </w:rPr>
        <w:t>E. 7.2</w:t>
      </w:r>
    </w:p>
    <w:p>
      <w:r>
        <w:t>Der Beschwerdeführer machte in seinem Wiedererwägungsgesuch geltend, die Vorinstanz habe bei der Anordnung der Wegweisung den Grundsatz der Einheit der Familie im Sinne von Art. 44 Abs. 1 AsylG und das Kindswohl zu beachten. Die Vorinstanz prüfte in der angefochtenen Verfügung, ob dem Beschwerdeführer gestützt auf Art. 8 EMRK ein grundsätzlicher Anspruch auf Erteilung einer Aufenthaltsbewilligung zukomme. Hingegen hat sie sich zur Frage, ob ihm gestützt auf den in Art. 44 AsylG statuierten Grundsatz der Einheit der Familie die vorläufige Aufnahme zu gewähren sei, mit keinem Wort geäussert. Auch zum Kindswohl führte sie nichts aus. Mit den grundsätzlich relevanten Vorbringen im Wiedererwägungsgesuch hat sie sich somit gar nicht auseinandergesetzt und diese in ihrem Entscheid gänzlich unberücksichtigt gelassen. Mit diesem Vorgehen hat die Vorinstanz offensichtlich die ihr obliegende Prüfungs- und Begründungspflicht und damit den Anspruch des Beschwerdeführers auf rechtliches Gehör verletzt. Diese Gehörsverletzung ist als schwerwiegend zu erachten, weshalb eine Heilung auf Beschwerdeebene nicht in Betracht fällt.</w:t>
      </w:r>
    </w:p>
    <w:p>
      <w:r>
        <w:rPr>
          <w:b/>
        </w:rPr>
        <w:t>E. 8</w:t>
      </w:r>
    </w:p>
    <w:p>
      <w:r>
        <w:t>Nach dem Gesagten ist die Beschwerde gutzuheissen. Die vorinstanzliche Verfügung vom 7. Mai 2018 ist aufzuheben und die Sache zur umfassenden Prüfung - namentlich der Vorbringen, gemäss dem Grundsatz der Einheit der Familie nach Art. 44 Abs. 1 AsylG sei der Beschwerdeführer in der Schweiz vorläufig aufzunehmen und das Kindswohl sei zwingend zu berücksichtigen - sowie zur anschliessenden Neubeurteilung und entsprechenden Begründung an das SEM zurückzuweisen. Angesichts der Rückweisung der Sache an die Vorinstanz erübrigt es sich, auf die weiteren Ausführungen in der Beschwerde näher einzugehen.</w:t>
      </w:r>
    </w:p>
    <w:p>
      <w:r>
        <w:rPr>
          <w:b/>
        </w:rPr>
        <w:t>E. 9.1</w:t>
      </w:r>
    </w:p>
    <w:p>
      <w:r>
        <w:t>Bei diesem Ausgang des Verfahrens sind keine Kosten zu erheben (Art. 63 Abs. 1 und 2 VwVG).</w:t>
      </w:r>
    </w:p>
    <w:p>
      <w:r>
        <w:rPr>
          <w:b/>
        </w:rPr>
        <w:t>E. 9.2</w:t>
      </w:r>
    </w:p>
    <w:p>
      <w:r>
        <w:t>Der Beschwerdeführer wäre zufolge seines Obsiegens für die ihm erwachsenen notwendigen Kosten zu entschädigen (Art. 64 Abs. 1 VwVG; Art. 7 ff. des Reglements vom 21. Februar 2008 über die Kosten und Entschädigungen vor dem Bundesverwaltungsgericht [VGKE, SR 173.320.2]). Der nicht vertretene Beschwerdeführer macht für das Beschwerdeverfahren keine Aufwendungen im Sinne der massgeblichen Bestimmungen gelten und es sind auch keine ersichtlich. Es ist ihm deshalb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