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E-3296/2013 vom 23. Januar 2014</w:t>
      </w:r>
    </w:p>
    <w:p>
      <w:r>
        <w:t>Bundesverwaltungsgericht, 2014-01-23, FR</w:t>
      </w:r>
    </w:p>
    <w:p>
      <w:r>
        <w:rPr>
          <w:b/>
        </w:rPr>
        <w:t xml:space="preserve">Quelle: </w:t>
      </w:r>
      <w:r>
        <w:t>https://mcp.opencaselaw.ch/entscheid/bvger_E-3296_2013</w:t>
      </w:r>
    </w:p>
    <w:p>
      <w:r>
        <w:t>FR: TAF E-3296/2013 du 23 janvier 2014</w:t>
      </w:r>
    </w:p>
    <w:p>
      <w:r>
        <w:t>IT: TAF E-3296/2013 del 23 gennaio 2014</w:t>
      </w:r>
    </w:p>
    <w:p>
      <w:pPr>
        <w:pStyle w:val="Heading2"/>
      </w:pPr>
      <w:r>
        <w:t>Regeste</w:t>
      </w:r>
    </w:p>
    <w:p>
      <w:r>
        <w:t>Asile et renvoi</w:t>
      </w:r>
    </w:p>
    <w:p>
      <w:pPr>
        <w:pStyle w:val="Heading2"/>
      </w:pPr>
      <w:r>
        <w:t>Erwägungen</w:t>
      </w:r>
    </w:p>
    <w:p>
      <w:r>
        <w:rPr>
          <w:b/>
        </w:rPr>
        <w:t>E. 2.1</w:t>
      </w:r>
    </w:p>
    <w:p>
      <w:r>
        <w:t>La procédure devant le Tribunal est régie par la PA, pour autant que ni la LAsi ni la LTAF n'en disposent autrement (cf. art. 6 LAsi et art. 37 LTAF).</w:t>
      </w:r>
    </w:p>
    <w:p>
      <w:r>
        <w:rPr>
          <w:b/>
        </w:rPr>
        <w:t>E. 2.2</w:t>
      </w:r>
    </w:p>
    <w:p>
      <w:r>
        <w:t>Le Tribunal applique le droit d'office, sans être lié par les motifs invoqués (cf. art. 62 al. 4 PA) ni par l'argumentation juridique développée dans la décision entreprise (cf. Pierre Moor/Etienne 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(ATAF 2009/57 consid. 1.2 p. 798 ; ATF 122 V 157 consid. 1a, ATF 121 V 204 consid. 6c ; Jurisprudence des autorités administratives de la Confédération [JAAC] 61.31 consid. 3.2.2 ; André Moser, Michael Beusch, Lorenz Kneubühler, Prozessieren vor dem Bundesverwaltungsgericht, 2e éd., Bâle 2013, ch. 1.55, p. 25 ; Alfred Kölz, Isabelle Häner, Martin Bertschi, Verwaltungsverfahren und Verwaltungsrechtspflege des Bundes, 3ème éd., Zurich 2013, n° 1136, p. 398 ; voir aussi Clémence Grisel, L'obligation de collaborer des parties en procédure administrative, Zurich/Bâle/Genève 2008, p. 57, 76 et 82 s.).</w:t>
      </w:r>
    </w:p>
    <w:p>
      <w:r>
        <w:rPr>
          <w:b/>
        </w:rPr>
        <w:t>E. 3.1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Berne 2000, p. 395 s. ; voir aussi ATAF 2007/37 consid. 2.3).</w:t>
      </w:r>
    </w:p>
    <w:p>
      <w:r>
        <w:rPr>
          <w:b/>
        </w:rPr>
        <w:t>E. 3.2</w:t>
      </w:r>
    </w:p>
    <w:p>
      <w:r>
        <w:t>L'ODM a décidé de suspendre les renvois au Sri Lanka. Pour ce faire, il a suspendu le traitement des demandes d'asile de ressortissants sri-lankais d'ethnie tamoule, susceptibles d'aboutir à des décisions de renvoi et d'exécution de cette mesure ; pour les décisions d'exécution de renvoi déjà entrées en force, il a renoncé à la fixation de délais de départ, respectivement a annulé ceux déjà fixés. Cet office a procédé de la sorte de manière systématique, sans tenir compte des circonstances particulières à chaque cas d'espèce. Cette pratique a été instaurée en réaction à l'arrestation, dès leur arrivée au Sri Lanka, à l'aéroport de Colombo, de deux requérants d'asile tamouls déboutés renvoyés par la Suisse (cf. ODM, communiqué du 4 septembre 2013, "L'Office fédéral des migrations suspend les renvois au Sri Lanka" ; ODM, communiqué du 3 octobre 2013, "Le Sri Lanka explique pourquoi deux anciens requérants d'asile sont en détention"). L'ODM a annoncé vouloir clarifier les motifs de ces deux arrestations, et procéder à un réexamen de la situation générale sur place, en particulier pour les personnes retournant dans leur pays. Pour cela, il a demandé au Haut Commissariat des Nations Unies pour les réfugiés (HCR) de soumettre les dossiers des deux anciens requérants d'asile détenus à un "contrôle de la qualité" et d'étudier ensuite les dossiers des personnes dont la demande d'asile avait fait l'objet d'une décision négative entrée en force et dont l'exécution du renvoi au Sri Lanka était donc imminente (cf. ODM, communiqué du 3 octobre 2013, op. cit.).</w:t>
      </w:r>
    </w:p>
    <w:p>
      <w:r>
        <w:rPr>
          <w:b/>
        </w:rPr>
        <w:t>E. 3.3</w:t>
      </w:r>
    </w:p>
    <w:p>
      <w:r>
        <w:t>En conséquence, l'ODM part lui-même du principe que l'état de fait pertinent, tel que retenu dans la décision datée du 6 mai 2013, faisant l'objet du présent recours, n'est pas établi de manière complète. En effet, il ne fait aucun doute qu'une nouvelle analyse de la situation locale qui résulterait des mesures d'instruction complémentaires annoncées par l'ODM serait susceptible d'influer sur l'établissement de l'état de fait juridiquement pertinent et partant sur sa décision prise en matière d'exécution du renvoi, voire en matière de reconnaissance de la qualité de réfugié et d'octroi de l'asile (cf. ATAF 2011/24 consid. 8 s'agissant des groupes à risque).</w:t>
      </w:r>
    </w:p>
    <w:p>
      <w:r>
        <w:rPr>
          <w:b/>
        </w:rPr>
        <w:t>E. 4.1</w:t>
      </w:r>
    </w:p>
    <w:p>
      <w:r>
        <w:t>Le Tribunal examine les décisions de l'ODM en matière d'asile et de renvoi qui lui sont soumises avec un plein pouvoir de cognition en fait et en droit (cf. art. 106 al. 1 let. b LAsi). Le moment déterminant pour l'établissement des faits est celui où il statue (cf. ATAF 2012/21 consid. 5, ATAF 2011/1 consid. 2, ATAF 2008/12 consid. 5.2 et ATAF 2008/4 consid. 5.4). La procédure devant lui est, comme déjà dit, régie par la maxime inquisitoire. La préséance donnée par le législateur à la réforme à l'art. 61 al. 1 PA, qui nécessite que le dossier soit prêt pour décision, ne répond pas directement à la question de savoir jusqu'à quel point l'autorité de recours est tenue de procéder elle-même à l'administration de preuves. Dans la pratique, une cassation est notamment indiquée lorsque l'administration de preuves nécessaire dépasse l'ampleur de celle incombant à l'autorité de recours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w:t>
      </w:r>
    </w:p>
    <w:p>
      <w:r>
        <w:rPr>
          <w:b/>
        </w:rPr>
        <w:t>E. 4.2</w:t>
      </w:r>
    </w:p>
    <w:p>
      <w:r>
        <w:t>Une cassation se justifie en l'espèce au vu de l'ampleur des mesures d'instruction complémentaires auxquelles il y a lieu de procéder et de la nature des mesures concrètes annoncées par l'ODM. Cette solution préserve au demeurant l'intérêt du recourant à ce que des questions de fait essentielles ne soient pas éclaircies par le Tribunal en réforme en première et dernière instance, lequel n'a pas à se substituer ainsi à l'autorité de première instance et à priver le recourant d'une instance de recours.</w:t>
      </w:r>
    </w:p>
    <w:p>
      <w:r>
        <w:rPr>
          <w:b/>
        </w:rPr>
        <w:t>E. 5.1</w:t>
      </w:r>
    </w:p>
    <w:p>
      <w:r>
        <w:t>Vu ce qui précède, le recours est admis, la décision attaquée annulée pour établissement incomplet de l'état de fait pertinent, et la cause renvoyée à l'ODM, pour complément d'instruction et nouvelle décision au sens des considérants.</w:t>
      </w:r>
    </w:p>
    <w:p>
      <w:r>
        <w:rPr>
          <w:b/>
        </w:rPr>
        <w:t>E. 5.2</w:t>
      </w:r>
    </w:p>
    <w:p>
      <w:r>
        <w:t>S'avérant manifestement fondé, le recours est admis dans une procédure à juge unique, avec l'approbation d'un second juge (cf. art. 111 let. e LAsi), le présent arrêt n'étant motivé que sommairement (cf. art. 111a al. 2 LAsi).</w:t>
      </w:r>
    </w:p>
    <w:p>
      <w:r>
        <w:rPr>
          <w:b/>
        </w:rPr>
        <w:t>E. 6.1</w:t>
      </w:r>
    </w:p>
    <w:p>
      <w:r>
        <w:t>A teneur de l'art. 63 al. 1 PA, les frais de procédure sont mis, dans le dispositif, à la charge de la partie qui succombe. En principe, des frais de procédure ne peuvent être mis à la charge de la partie qui a gain de cause (cf. art. 63 al. 3 PA).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Lorsque l'affaire est renvoyée à l'instance précédente pour nouvelle décision, dont l'issue reste ouverte, la partie recourante est considérée comme ayant obtenu gain de cause, conformément à la jurisprudence du Tribunal fédéral (cf. ATF 137 V 210 consid. 7.1, ATF 133 V 450 consid. 13, ATF 132 V 215 consid. 6.1 ; Marcel Maillard, commentaire ad art. 63 PA, in : Praxiskommentar VwVG, Waldmann/Weissenberger [éd.], Zurich/Bâle/Genève, 2009, n° 14).</w:t>
      </w:r>
    </w:p>
    <w:p>
      <w:r>
        <w:rPr>
          <w:b/>
        </w:rPr>
        <w:t>E. 6.2</w:t>
      </w:r>
    </w:p>
    <w:p>
      <w:r>
        <w:t>Le recourant devant être considéré comme ayant obtenu gain de cause, il n'y a pas lieu de percevoir de frais de procédure. L'avance versée le 27 juin 2013 lui sera restituée par le Service financier du Tribunal. Le recourant a droit à des dépens. En l'absence de dépôt d'un décompte de prestations, ceux-ci sont fixés sur la base du dossier (cf. art. 14 al. 2 FITAF). Ils sont arrêtés à 1'000 francs (tous frais accessoires inclus), ex aequo et bono.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