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E-3295/2013 vom 18. Juni 2013</w:t>
      </w:r>
    </w:p>
    <w:p>
      <w:r>
        <w:t>Bundesverwaltungsgericht, 2013-06-18, DE</w:t>
      </w:r>
    </w:p>
    <w:p>
      <w:r>
        <w:rPr>
          <w:b/>
        </w:rPr>
        <w:t xml:space="preserve">Quelle: </w:t>
      </w:r>
      <w:r>
        <w:t>https://mcp.opencaselaw.ch/entscheid/bvger_E-3295_2013</w:t>
      </w:r>
    </w:p>
    <w:p>
      <w:r>
        <w:t>FR: TAF E-3295/2013 du 18 juin 2013</w:t>
      </w:r>
    </w:p>
    <w:p>
      <w:r>
        <w:t>IT: TAF E-3295/2013 del 18 giugno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w:t>
      </w:r>
    </w:p>
    <w:p>
      <w:r>
        <w:rPr>
          <w:b/>
        </w:rPr>
        <w:t>E. 1.4</w:t>
      </w:r>
    </w:p>
    <w:p>
      <w:r>
        <w:t>Auf die Beschwerde ist einzutreten.</w:t>
      </w:r>
    </w:p>
    <w:p>
      <w:r>
        <w:rPr>
          <w:b/>
        </w:rPr>
        <w:t>E. 1.5</w:t>
      </w:r>
    </w:p>
    <w:p>
      <w:r>
        <w:t>Das Bundesverwaltungsgericht verzichtet im vorliegenden Flughafenverfahren in Anwendung von Art. 111a Abs. 1 AsylG auf die Durchführung eines Schriftenwechsels.</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Beschwerdeeingabe vom 10. Juni 2013 richtet sich ausschliesslich gegen den Vollzug der von der Vorinstanz verfügten Wegweisung. Somit ist die Verfügung des BFM vom 3. Juni 2013 in Rechtskraft erwachsen, soweit sie die Frage des Asyls und der Flüchtlingseigenschaft betrifft, und auch die Frage der Wegweisung ist nicht mehr zu überprüfen. Gegen-stand des Beschwerdeverfahrens bildet damit einzig die Frage, ob die Wegweisung zu vollziehen oder an 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rechtskräftig feststeht, dass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Afghanistan ist demnach unter dem Aspekt von Art. 5 AsylG rechtmässig. Sodann ergeben sich weder aus den Aussagen der Beschwerdefüh­ren­den noch aus den Akten Anhaltspunkte dafür, dass sie für den Fall einer Ausschaffung nach Afghanistan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Das BFM hatte in der angefochtenen Verfügung die von den Beschwerdeführenden vorgebrachte Bedrohung durch Verwandte der Beschwerdeführerin als unglaubhaft bewertet, und diese Einschätzung wurde in der Beschwerdeeingabe nicht bestritten.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4.4.2</w:t>
      </w:r>
    </w:p>
    <w:p>
      <w:r>
        <w:t>Gemäss der aktuellen Rechtsprechung des Bundesverwaltungsgerichts ist in weiten Teilen Afghanistans - ausser allenfalls in den Grossstädten die Sicherheitslage derart schlecht, und sind die humanitären Bedingungen derart schwierig, dass die Situation im Allgemeinen als existenzbedrohend im Sinne von Art. 83 Abs. 4 AuG qualifiziert werden muss (vgl. BVGE 2011/7 E. 9 S. 89 ff.). Von dieser Feststellung ist aber die Situation in der Hauptstadt Kabul zu unterscheiden. Da die Sicherheitslage dort weniger bedrohlich und die humanitäre Situation weniger dramatisch ist als in den andere Landesteilen, kann der Wegweisungsvollzug dorthin bei Vorliegen begünstigender Umstände als zumutbar erachtet werden. Solche Umstände sind namentlich das Bestehen eines tragfähigen sozialen Netzes sowie konkrete Möglichkeiten zur Sicherung der Existenz und der Wohnsituation (vgl. BVGE 2011/7 E. 9.9.2 S. 104 f. mit Hinweis auf Entscheidungen und Mitteilungen der Schweizerischen Asylrekurskommission [EMARK] 2003 Nr. 10 E. 10 b cc S. 68). Das Bundesverwaltungsgericht hat die in BVGE 2011/7 definierte Zumutbarkeitspraxis seit ihrer Publikation auch bezüglich der Stadt Kabul in mehreren Urteilen, darunter kürzlich ausgefällten Beschwerdeentscheiden, bestätigt (vgl. etwa Urteil D-2103/2013 vom 25. April 2013 E. 6.4, Urteil D 1165/2013 vom 24. April 2013 E. 6.3, Urteil D-1605/3013 vom 24. April 2013 E. 8.4 oder Urteil E-1488/2013 vom 16. April 2013 E. 7.3). Entgegen der in der Beschwerdeeingabe vertretenen Auffassung, besteht auch unter Berücksichtigung der jüngsten Ereignisse in Kabul kein Anlass, von einer derartigen Verschlechterung der allgemeinen Situation auszugehen, dass sich ein Abweichen von dieser Rechtsprechung rechtfertigen würde.</w:t>
      </w:r>
    </w:p>
    <w:p>
      <w:r>
        <w:rPr>
          <w:b/>
        </w:rPr>
        <w:t>E. 4.4.3</w:t>
      </w:r>
    </w:p>
    <w:p>
      <w:r>
        <w:t>Der Beschwerdeführer stammt aus Kabul, wo er mit seinen Eltern und Geschwistern zusammengelebt hat. Er hat dort während (...) Jahren die Schule besucht und verfügt über berufliche Erfahrung als (...) und als Mitarbeiter in (...) (vgl. Akten BFM A10 S. 5). Er verfügt somit über gute berufliche Qualifikationen, welche es ihm ermöglichen dürften, den Lebensunterhalt für sich und seine Ehefrau sicherzustellen. Im Übrigen besitzt seine Familie gemäss seinen Angaben ein eigenes Haus, und sein Vater betreibt mit einem Geschäftspartner ein (...) (vgl. Akten BFM A10 S. 6 und A15 S. 4). Gemäss Aussagen des Beschwerdeführers reicht das von seinem Vater erzielte Einkommen aus, um den Unterhalt der Familie sicherzustellen (vgl. Protokoll Anhörung A15 S. 4). Aus diesen Angaben kann geschlossen werden, dass der Beschwerdeführer aus einer relativ wohlhabenden Familie stammt, und die Beschwerdeführenden somit in Kabul über ein tragfähiges familiäres Beziehungsnetz verfügen, welches - schon angesichts der beruflichen Tätigkeit des Vaters des Beschwerdeführers - zweifellos in der Lage ist, ihre Unterkunft zu gewährleisten und sie bei der Existenzsicherung zu unterstützen. Unter diesen Umständen besteht kein Anlass zur Annahme, dass die Beschwerdeführenden im Falle der Rückkehr in ihren Herkunftsort in eine existenzbedrohende Situation geraten werden. Demnach sind vorliegend begünstigende Umstände im Sinne der zitierten Rechtsprechung des Bundesverwaltungsgerichts gegeben, welche die Bejahung der Zumutbarkeit des Wegweisungsvollzugs nach Kabul rechtfertigen.</w:t>
      </w:r>
    </w:p>
    <w:p>
      <w:r>
        <w:rPr>
          <w:b/>
        </w:rPr>
        <w:t>E. 4.4.4</w:t>
      </w:r>
    </w:p>
    <w:p>
      <w:r>
        <w:t>Nach dem Gesagten erweist sich der Vollzug der Wegweisung auch als zumutbar.</w:t>
      </w:r>
    </w:p>
    <w:p>
      <w:r>
        <w:rPr>
          <w:b/>
        </w:rPr>
        <w:t>E. 4.5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4.6</w:t>
      </w:r>
    </w:p>
    <w:p>
      <w:r>
        <w:t>Zusammenfassend hat die Vorinstanz den Wegweisungsvollzug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6</w:t>
      </w:r>
    </w:p>
    <w:p>
      <w:r>
        <w:t>Der Antrag auf Verzicht auf die Erhebung eines Kostenvorschusses wird mit dem vorliegendem Entscheid in der Hauptsache ohne vorgängige Instruktion gegenstandslos. Bei diesem Ausgang des Verfahrens wären den Beschwerdeführenden die Verfahrenskosten aufzuerlegen (Art. 63 Abs. 1 VwVG). Nachdem ihre Rechtsbegehren nicht als aussichtslos bezeichnet werden konnten und aufgrund der Akten von der Bedürftigkeit der Beschwerdeführenden ausgegangen werden kann, ist indessen das in der Beschwerdeeingabe gestellte Gesuch um unentgeltliche Prozessführung gemäss Art. 65 Abs. 1 VwVG gutzuheissen.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