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E-3291/2015 vom 24. November 2015</w:t>
      </w:r>
    </w:p>
    <w:p>
      <w:r>
        <w:t>Bundesverwaltungsgericht, 2015-11-24, FR</w:t>
      </w:r>
    </w:p>
    <w:p>
      <w:r>
        <w:rPr>
          <w:b/>
        </w:rPr>
        <w:t xml:space="preserve">Quelle: </w:t>
      </w:r>
      <w:r>
        <w:t>https://mcp.opencaselaw.ch/entscheid/bvger_E-3291_2015</w:t>
      </w:r>
    </w:p>
    <w:p>
      <w:r>
        <w:t>FR: TAF E-3291/2015 du 24 novembre 2015</w:t>
      </w:r>
    </w:p>
    <w:p>
      <w:r>
        <w:t>IT: TAF E-3291/2015 del 24 novembre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de faire apparaitre la vraisemblance de leurs motifs.</w:t>
      </w:r>
    </w:p>
    <w:p>
      <w:r>
        <w:rPr>
          <w:b/>
        </w:rPr>
        <w:t>E. 3.2</w:t>
      </w:r>
    </w:p>
    <w:p>
      <w:r>
        <w:t>En effet, les recherches menées par l'ambassade ont révélé que le motif principal invoqué par le recourant - sa condamnation pénale faisant suite à ses prises de position hostiles au corps des Bassidji et au gouvernement iranien - était entièrement inventé. Les défauts relevés sur l'arrêt du 6 mars 2010 (instance judiciaire compétente non indiquée, confusion entre juridiction et ministère public, dispositions légales erronées) sont à ce point graves qu'ils permettent de conclure, sans équivoque, à la falsification. Les explications fournies ne sont aucunement convaincantes, et ne peuvent justifier ces carences ; en particulier, le fait que le jugement n'ait été transmis aux intéressés qu'en copie ne change rien à la valeur du constat de l'ambassade. De même, il ressort des investigations de la représentation diplomatique suisse que l'avocat supposé être intervenu pour le recourant n'existe pas. Aucune des correspondances ou attestations supposées émaner de lui n'est authentique, au vu des défauts qu'elles récèlent ; le fait que ces documents aient été traduits par un non-spécialiste, comme le font valoir les recourants, ne change rien à cet état de fait. Les intéressés ont tenté d'étayer leurs affirmations en produisant une photographie truquée, ce qui ne fait que corroborer les résultats de l'enquête ; de même, les sites Internet qu'ils ont indiqués n'ont pas non plus permis de situer l'avocat H._______, ce qui permet d'admettre qu'il n'existe pas.</w:t>
      </w:r>
    </w:p>
    <w:p>
      <w:r>
        <w:rPr>
          <w:b/>
        </w:rPr>
        <w:t>E. 3.3</w:t>
      </w:r>
    </w:p>
    <w:p>
      <w:r>
        <w:t>Dès lors, l'élément principal motivant la demande d'asile se révèle inventé et fallacieux. En conséquence, aucune mesure d'instruction supplémentaire n'apparaît nécessaire, le caractère infondé des motifs d'asile soulevés étant suffisamment clair. Selon les rapports médicaux déposés au stade du recours, l'intéressé présente des séquelles de mauvais traitements qu'il a manifestement décrits lui-même aux médecins. A eux seuls, elles ne sont toutefois pas propres à prouver la réalité des persécutions alléguées (ATAF 2015/11 consid. 7.2.1-7.2.2 p. 148-149). En l'espèce, comme démontré ci-dessus, ces traitements n'ont manifestement pas été infligés dans les circonstances décrites en procédure ; dès lors, l'origine des sévices supposés restant inconnue, le Tribunal ne peut leur attribuer une portée particulière en matière d'asile. A cela s'ajoute que le traitement requis par leurs suites n'est pas spécifié clairement, et ne permet pas de juger adéquatement de la gravité des atteintes alléguées.</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des intéressés dans leur pays d'origine et a prononcé leur admission provisoire.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