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E-3290/2023 vom 1. Juni 2023</w:t>
      </w:r>
    </w:p>
    <w:p>
      <w:r>
        <w:t>Bundesverwaltungsgericht, 2023-06-01, DE</w:t>
      </w:r>
    </w:p>
    <w:p>
      <w:r>
        <w:rPr>
          <w:b/>
        </w:rPr>
        <w:t xml:space="preserve">Quelle: </w:t>
      </w:r>
      <w:r>
        <w:t>https://mcp.opencaselaw.ch/entscheid/bvger_E-3290_2023_d20230601</w:t>
      </w:r>
    </w:p>
    <w:p>
      <w:r>
        <w:t>FR: TAF E-3290/2023 du 1 juin 2023</w:t>
      </w:r>
    </w:p>
    <w:p>
      <w:r>
        <w:t>IT: TAF E-3290/2023 del 1 giugno 2023</w:t>
      </w:r>
    </w:p>
    <w:p>
      <w:pPr>
        <w:pStyle w:val="Heading2"/>
      </w:pPr>
      <w:r>
        <w:t>Regeste</w:t>
      </w:r>
    </w:p>
    <w:p>
      <w:r>
        <w:t>Nichteintreten auf Asylgesuch und Wegweisung (Dublin-Verfahren - Art. 31a Abs. 1 Bst. b AsylG) | Nichteintreten auf Asylgesuch und Wegweisung (Dublin-Verfahren ; Verfügung des SEM vom 1.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vorliegend – im Zeitpunkt der Urteilsfäl- lung – um eine solche, weshalb der Beschwerdeentscheid nur summarisch zu begründen ist (Art. 111a Abs. 2 AsylG). Gestützt auf Art. 111a Abs. 1 AsylG wurde auf die Durchführung eines Schriftenwechsels verzichtet.</w:t>
      </w:r>
    </w:p>
    <w:p>
      <w:r>
        <w:rPr>
          <w:b/>
        </w:rPr>
        <w:t>E. 3</w:t>
      </w:r>
    </w:p>
    <w:p>
      <w:r>
        <w:t>E-3290/2023 Seite 5</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Der Beschwerdeführer rügt in formeller Hinsicht, die Vorinstanz habe den Sachverhalt nicht vollständig abgeklärt. Konkret seien, trotz seines An- trags auf medizinische Abklärungen sowie Anordnung eines Gutachtens durch einen Psychiater oder Psychologen, ungenügende Abklärungen sei- ner psychischen Gesundheit vorgenommen worden. Diese Rüge ist vorab zu prüfen, da sie geeignet ist, eine Kassation der angefochtenen Verfügung herbeizuführen.</w:t>
      </w:r>
    </w:p>
    <w:p>
      <w:r>
        <w:rPr>
          <w:b/>
        </w:rPr>
        <w:t>E. 4.2</w:t>
      </w:r>
    </w:p>
    <w:p>
      <w:r>
        <w:t>Die Sachverhaltsfeststellung ist unvollständig, wenn nicht alle für den Entscheid wesentlichen Sachumstände berücksichtigt werden (vgl. KÖLZ/ HÄNER/BERTSCHI, Verwaltungsverfahren und Verwaltungsrechtspflege des Bundes, 3. Aufl. 2013, Rz. 1043).</w:t>
      </w:r>
    </w:p>
    <w:p>
      <w:r>
        <w:rPr>
          <w:b/>
        </w:rPr>
        <w:t>E. 4.3</w:t>
      </w:r>
    </w:p>
    <w:p>
      <w:r>
        <w:t>Aus den Akten ergeben sich keine Hinweise, dass die Vorinstanz ihre Pflicht zur vollständigen Abklärung des rechtserheblichen Sachverhalts nicht ausreichend wahrgenommen hätte. Insbesondere hat sie sämtliche medizinischen Unterlagen den Beschwerdeführer betreffend ediert und umfassend berücksichtigt. Dem Verlaufsblatt von Medic-Help kann ent- nommen werden, dass der Beschwerdeführer zwischen dem 24. April und</w:t>
      </w:r>
    </w:p>
    <w:p>
      <w:r>
        <w:rPr>
          <w:b/>
        </w:rPr>
        <w:t>E. 4.4</w:t>
      </w:r>
    </w:p>
    <w:p>
      <w:r>
        <w:t>Aufgrund des Gesagten erweist sich die formelle Rüge als unbegrün- det. Es besteht keine Veranlassung, die Sache zur Sachverhaltsfeststel- lung und Neubeurteilung an die Vorinstanz zurückzuweisen. Das diesbe- zügliche Eventualbegehren ist abzuweisen. 5. 5.1 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 5.2 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5.3 Im Fall eines sogenannten Wiederaufnahmeverfahrens (engl.: «take back»), wie das vorliegende eines ist, findet grundsätzlich keine erneute Zuständigkeitsprüfung nach Kapitel III Dublin-III-VO statt (vgl. zum Ganzen BVGE 2017 VI/5 E. 6.2 und 8.2.1 m.w.H.). 5.4 Die kroatischen Behörden habe ihre Zustimmung zur Wiederaufnahme des Beschwerdeführers gegeben und damit ihre grundsätzliche Zuständig- keit anerkannt, woran nichts ändert, dass diese gestützt auf Art. 20 Abs. 5 Dublin-III-VO erfolgt ist (vgl. Urteil des BVGE F-1157/2023 vom 7. März 2023). Der Beschwerdeführer bestreitet die Zuständigkeit Kroatiens für die Behandlung seines Asylgesuchs nicht.</w:t>
      </w:r>
    </w:p>
    <w:p>
      <w:r>
        <w:t>6.</w:t>
      </w:r>
    </w:p>
    <w:p>
      <w:r>
        <w:t>E-3290/2023 Seite 7 6.1 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 6.2 Kroatien ist Signatarstaat der EMRK, des Übereinkommens vom</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Wiederaufnahmeverfahrens (engl.: «take back»), wie das vorliegende eines ist, findet grundsätzlich keine erneute Zuständigkeitsprüfung nach Kapitel III Dublin-III-VO statt (vgl. zum Ganzen BVGE 2017 VI/5 E. 6.2 und 8.2.1 m.w.H.).</w:t>
      </w:r>
    </w:p>
    <w:p>
      <w:r>
        <w:rPr>
          <w:b/>
        </w:rPr>
        <w:t>E. 5.4</w:t>
      </w:r>
    </w:p>
    <w:p>
      <w:r>
        <w:t>Die kroatischen Behörden habe ihre Zustimmung zur Wiederaufnahme des Beschwerdeführers gegeben und damit ihre grundsätzliche Zuständigkeit anerkannt, woran nichts ändert, dass diese gestützt auf Art. 20 Abs. 5 Dublin-III-VO erfolgt ist (vgl. Urteil des BVGE F-1157/2023 vom 7. März 2023). Der Beschwerdeführer bestreitet die Zuständigkeit Kroatiens für die Behandlung seines Asylgesuchs nicht.</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Im Referenzurteil Urteil E-1488/2020 vom 22. März 2023 hat sich das Bundesverwaltungsgericht einlässlich mit der Situation von Dublin-Rückkehrern in Kroatien befasst. Dabei hat es festgehalten, dass im heutigen Zeitpunkt keine Hinweise für die Annahme vorliegen, dass Asylverfahren und die Aufnahmebedingungen von Antragstellenden in Kroatien systemische Schwachstellen im Sinne von Art. 3 Abs. 2 zweiter und dritter Satz Dublin-III-VO aufweisen, die eine Überstellung generell als unzulässig erscheinen lassen. Dies gilt sowohl für das Aufnahmeverfahren (take charge) als auch für das Wiederaufnahmeverfahren (take back, vgl. a.a.O. E. 9.5). Selbst unter Berücksichtigung der auf Beschwerdeebene zitierten Berichte sowie der vom Beschwerdeführer geschilderten Vorkommnisse mit den kroatischen Behörden ihn sowie seine Bekannten betreffend ist nicht davon auszugehen, Kroatien verstosse zum heutigen Zeitpunkt systematisch gegen seine vertraglichen Verpflichtungen als zuständiger Dublin-Mitgliedstaat im Falle einer Rücküberstellung von Asylsuchenden.</w:t>
      </w:r>
    </w:p>
    <w:p>
      <w:r>
        <w:rPr>
          <w:b/>
        </w:rPr>
        <w:t>E. 6.4</w:t>
      </w:r>
    </w:p>
    <w:p>
      <w:r>
        <w:t>Nach dem Gesagten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Das Bundesverwaltungsgericht geht davon aus, dass sich der Beschwerdeführer nach der Dublin-Rücküberstellung in einer anderen Situation als bei seiner ersten Einreise nach Kroatien befinden wird (vgl. Urteil des BVGer E-1488/2020 E. 9.4 m.w.H.). Daran vermögen auch die auf Beschwerdeebene zitierten Berichte nichts zu ändern. Kroatien ist ein Rechtsstaat mit einem funktionierenden Justizsystem. Den Akten sind denn auch keine Gründe für die Annahme zu entnehmen,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7.3</w:t>
      </w:r>
    </w:p>
    <w:p>
      <w:r>
        <w:t>Bezüglich der gesundheitlichen Aspekte ist festzuhalten, dass eine zwangsweise Rückweisung von Personen mit gesundheitlichen Problemen nur ausnahmsweise einen Verstoss gegen Art. 3 EMRK darstellt. Dies ist insbesondere dann der Fall, wenn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Eine solche Situation ist vorliegend offenkundig nicht gegeben.</w:t>
      </w:r>
    </w:p>
    <w:p>
      <w:r>
        <w:rPr>
          <w:b/>
        </w:rPr>
        <w:t>E. 7.4</w:t>
      </w:r>
    </w:p>
    <w:p>
      <w:r>
        <w:t>Die Vorinstanz hielt zutreffend fest, dass Kroatien zur Behandlung der gesundheitlichen Probleme des Beschwerdeführers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Im Übrigen wird das SEM dem aktuellen Gesundheitszustand des Beschwerdeführers bei der Organisation der Überstellung Rechnung tragen und die kroatischen Behörden gemäss Art. 31 f. Dublin-III-VO über allfällig besondere Bedürfnisse orientieren.</w:t>
      </w:r>
    </w:p>
    <w:p>
      <w:r>
        <w:rPr>
          <w:b/>
        </w:rPr>
        <w:t>E. 7.5</w:t>
      </w:r>
    </w:p>
    <w:p>
      <w:r>
        <w:t>Nach dem Gesagten besteht kein Grund für eine Anwendung der Ermessensklausel von Art. 17 Dublin-III-VO sowie auch keine Veranlassung für die subeventualiter beantragte Einholung einer individuellen Garantieerklärung bezüglich Zugangs zum Asylverfahren sowie adäquater medizinischer und psychiatrischer Versorgung.</w:t>
      </w:r>
    </w:p>
    <w:p>
      <w:r>
        <w:rPr>
          <w:b/>
        </w:rPr>
        <w:t>E. 8</w:t>
      </w:r>
    </w:p>
    <w:p>
      <w:r>
        <w:t>Mai 2023 bis zum Entscheid der Vorinstanz keine weitere Konsultation</w:t>
      </w:r>
    </w:p>
    <w:p>
      <w:r>
        <w:t>E-3290/2023 Seite 6 erfolgt war, konnte richtigerweise nicht auf akut psychische Beschwerden geschlossen werden, weshalb für die Vorinstanz kein Anlass bestand, ein Gutachten zum psychischen Zustand des Beschwerdeführers in Auftrag zu geben.</w:t>
      </w:r>
    </w:p>
    <w:p>
      <w:r>
        <w:rPr>
          <w:b/>
        </w:rPr>
        <w:t>E. 9</w:t>
      </w:r>
    </w:p>
    <w:p>
      <w:r>
        <w:t>Das Gesuch um Gewährung der unentgeltlichen Prozessführung ist abzuweisen, da sich die Rechtsbegehren als aussichtslos darstellten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 scheid als gegenstandslos.</w:t>
      </w:r>
    </w:p>
    <w:p>
      <w:r>
        <w:t>(Dispositiv nächste Seite)</w:t>
      </w:r>
    </w:p>
    <w:p>
      <w:r>
        <w:t>E-3290/2023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