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E-3290/2014 vom 4. Juli 2014</w:t>
      </w:r>
    </w:p>
    <w:p>
      <w:r>
        <w:t>Bundesverwaltungsgericht, 2014-07-04, DE</w:t>
      </w:r>
    </w:p>
    <w:p>
      <w:r>
        <w:rPr>
          <w:b/>
        </w:rPr>
        <w:t xml:space="preserve">Quelle: </w:t>
      </w:r>
      <w:r>
        <w:t>https://mcp.opencaselaw.ch/entscheid/bvger_E-3290_2014</w:t>
      </w:r>
    </w:p>
    <w:p>
      <w:r>
        <w:t>FR: TAF E-3290/2014 du 4 juillet 2014</w:t>
      </w:r>
    </w:p>
    <w:p>
      <w:r>
        <w:t>IT: TAF E-3290/2014 del 4 luglio 2014</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 Der Antrag auf Replikrecht zu allfälligen Stellungnahmen der Vorinstanz erübrigt sich somit.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Vorliegend wurde keine nachträglich wesentlich veränderte Sachlage geltend gemacht, an welche die Verfügung vom 26. November 2013 anzupassen wäre. Vielmehr wurden ausschliesslich unechte Noven vorgebracht. So wurden Beweismittel eingereicht, die vor dem Urteil vom 6. Februar 2014 datiert sind, insbesondere wurde ein Beweismittel angeboten für eine im ordentlichen Asylverfahren unbewiesen gebliebene Tatsache, und es wurde eine neu erfahrene Tatsache, nämlich dass ein Verwandter in H._______ im Jahre 2005 einen Schutzstatus erhalten habe, geltend gemacht. Entgegen der angefochtenen Verfügung des BFM besteht angesichts des Urteils vom 6. Februar 2014 kein Raum für die Prüfung solcher "qualifizierter" Wiedererwägungsgründe im Sinne von Art. 66 Abs. 2 Bst. a VwVG. Die Vorinstanz wäre demnach verpflichtet gewesen, auf die Wiedererwägungsgesuche nicht einzutreten (vgl. auch Art. 9 Abs. 2 VwVG). Sie hat Bundesrecht verletzt, indem sie auf die Gesuche dennoch eingetreten ist und sie in der Sache behandelt hat. Von der Kassation eines verfahrensrechtlich mangelhaften Entscheides kann abgesehen werden, wenn der Mangel auf Beschwerdestufe geheilt werden kann, was hier indes insofern nicht möglich ist, als die Beschwerdeinstanz an die Stelle des materiellen Ablehnungsentscheides nicht einen Nichteintretensentscheid setzen darf (vgl. dazu Urteil des Bundesverwaltungsgerichts E-938/2013 vom 18. März 2013 E. 6.3). Unter diesen Umständen ist die angefochtene Verfügung ungeachtet der Beschwerdebegründung von Amtes wegen zu kassieren und die Vorinstanz anzuweisen, auf die Wiedererwägungsgesuche vom 13. März 2014 nicht einzutreten.</w:t>
      </w:r>
    </w:p>
    <w:p>
      <w:r>
        <w:rPr>
          <w:b/>
        </w:rPr>
        <w:t>E. 7</w:t>
      </w:r>
    </w:p>
    <w:p>
      <w:r>
        <w:t>Das BFM hat das Aktenstück B4 (Antwortschreiben des Bundesverwaltungsgerichts an das BFM) zu Unrecht als interne Akte bezeichnet und diesbezüglich Einsicht zu Unrecht verweigert. Dass es sich nicht um eine interne Akte handeln kann, ergibt sich nicht zuletzt aus dem Umstand, dass das Schreiben des BFM an das Bundesverwaltungsgericht (Akte B3), worauf sich die Akte B4 bezieht, vom BFM den Beschwerdeführenden in Kopie zugestellt worden ist, was das BFM allerdings nicht davon abgehalten hat, irrigerweise auch dieses Aktenstück (B3) später als interne Akte zu qualifizieren. Den Beschwerdeführenden ist zusammen mit dem vorliegenden Urteil eine Kopie der Akte B4 zuzustellen. Angesichts dieses Ausgangs des Verfahrens und des Umstandes, dass es den Beschwerdeführenden unbenommen ist, ihre Revisionsgründe im Rahmen eines Revisionsgesuchs an das Bundesverwaltungsgericht geltend zu machen, ist die Verletzung des rechtlichen Gehörs, soweit diese anzunehmen ist, als im Beschwerdeverfahren geheilt zu erachten.</w:t>
      </w:r>
    </w:p>
    <w:p>
      <w:r>
        <w:rPr>
          <w:b/>
        </w:rPr>
        <w:t>E. 8</w:t>
      </w:r>
    </w:p>
    <w:p>
      <w:r>
        <w:t>Bei diesem Ausgang des Verfahrens sind keine Kosten zu erheben (Art. 63 Abs. 1 VwVG). Das Gesuch um Gewährung der unentgeltlichen Rechtspflege ist damit gegenstandslos geworden. Alle übrigen Prozess-anträge sind mit dem vorliegenden Direktentscheid hinfällig geworden.</w:t>
      </w:r>
    </w:p>
    <w:p>
      <w:r>
        <w:rPr>
          <w:b/>
        </w:rPr>
        <w:t>E. 9</w:t>
      </w:r>
    </w:p>
    <w:p>
      <w:r>
        <w:t>Die Beschwerdeinstanz kann der ganz oder teilweise obsiegenden Partei eine Entschädigung für ihr durch die Vertretung vor Gericht erwachsene notwendige und verhältnismässig hohe Kosten zusprechen (Art. 64 Abs. 1 VwVG). Vorliegend sind die Beschwerdeführenden nicht vertreten, weshalb ihnen kein Vertretungsaufwand erwachsen ist. Eine Parteientschädigung ist ihnen daher nicht zuzusprechen. Somit kann offengelassen werden, ob sie angesichts des Umstands, dass die angefochtene Verfügung nicht etwa wegen einer zu Recht erhobenen Beschwerde aufgehoben wird, sondern einzig deshalb, weil die Vorinstanz die Gesuche unzulässigerweise materiell behandelt hat, überhaupt als obsiegende Partei gelten können.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