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E-3284/2024 vom 3. April 2025</w:t>
      </w:r>
    </w:p>
    <w:p>
      <w:r>
        <w:t>Bundesverwaltungsgericht, 2025-04-03, DE</w:t>
      </w:r>
    </w:p>
    <w:p>
      <w:r>
        <w:rPr>
          <w:b/>
        </w:rPr>
        <w:t xml:space="preserve">Quelle: </w:t>
      </w:r>
      <w:r>
        <w:t>https://mcp.opencaselaw.ch/entscheid/bvger_E-3284_2024</w:t>
      </w:r>
    </w:p>
    <w:p>
      <w:r>
        <w:t>FR: TAF E-3284/2024 du 3 avril 2025</w:t>
      </w:r>
    </w:p>
    <w:p>
      <w:r>
        <w:t>IT: TAF E-3284/2024 del 3 aprile 2025</w:t>
      </w:r>
    </w:p>
    <w:p>
      <w:pPr>
        <w:pStyle w:val="Heading2"/>
      </w:pPr>
      <w:r>
        <w:t>Regeste</w:t>
      </w:r>
    </w:p>
    <w:p>
      <w:r>
        <w:t>Asyl und Wegweisung</w:t>
      </w:r>
    </w:p>
    <w:p>
      <w:pPr>
        <w:pStyle w:val="Heading2"/>
      </w:pPr>
      <w:r>
        <w:t>Erwägungen</w:t>
      </w:r>
    </w:p>
    <w:p>
      <w:r>
        <w:rPr>
          <w:b/>
        </w:rPr>
        <w:t>E. 21</w:t>
      </w:r>
    </w:p>
    <w:p>
      <w:r>
        <w:t>April 2020 E. 6.5.3), und dies den Schluss zulässt, dass sie aus objek- tiver Sicht nicht begründeterweise befürchten muss, nach einer Wiederein- reise in die Türkei in absehbarer Zukunft und mit grosser Wahrscheinlich- keit flüchtlingsrechtlich relevante Verfolgungshandlungen gewärtigen zu müssen, dass es den Beschwerdeführenden somit nicht gelingt, die Flüchtlingsei- genschaft nachzuweisen, weshalb die Vorinstanz ihr Asylgesuch zu Recht abgelehnt hat, dass die Anordnung der Wegweisung aus der Schweiz im Einklang mit den gesetzlichen Bestimmungen steht und zu bestätigen ist, da die Beschwer- deführenden insbesondere weder über einen Aufenthaltstitel für die Schweiz noch über eine Anspruchsgrundlage auf Erteilung eines solchen verfügen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diesbezüglich ebenfalls auf die zutreffende vorinstanzliche Würdi- gung verwiesen werden kann (vgl. angefochtene Verfügung Ziffer III), dass die Vorinstanz zwar zu Recht von einer innerstaatlichen Aufenthalts- alternative in H._______ ausgeht (vgl. zutreffende Würdigung in der ange- fochtenen Verfügung auf Seite 11), dass im Übrigen das BVGer in langjähriger Praxis den Wegweisungsvoll- zug in die Provinz Sirnak sowie in deren Nachbarprovinz Hakkari als unzu- mutbar betrachtete, nach einer eingehenden Beurteilung der aktuellen Si- cherheitslage aber die Aufhebung dieser Wegweisungspraxis beschlossen hat, dass der Vollzug von Wegweisungen dorthin damit nicht mehr generell aus- geschlossen ist, sondern im Einzelfall zu prüfen ist, ob ein solcher für die betroffene Person individuell zumutbar ist (vgl. Referenzurteil des BVGer E-4103/2024 vom 8. November 2024 E. 13.4.1-13.4.8),</w:t>
      </w:r>
    </w:p>
    <w:p>
      <w:r>
        <w:t>E-3284/2024 Seite 13 dass der Beschwerdeführer jung und guter Gesundheit ist sowie über ei- nen Gymnasialabschluss und Arbeitserfahrung verfügt, dass die Beschwerdeführerin die Mittelschule und danach das Gymnasium im Fernstudium absolviert hat und in einem Restaurant berufliche Erfah- rungen sammeln konnte, dass somit davon auszugehen ist, dass die Beschwerdeführenden auch in der Provinz G._______ beruflich wieder Fuss fassen könnten, dass die Beschwerdeführerin auf Beschwerdeebene Arztberichte vom 17. Oktober 2023 und 18. Oktober 2023 einreicht, in welchen insbeson- dere (…) diagnostiziert wurden, dass diese Beschwerden rechtsprechungsgemäss einem Wegweisungs- vollzug nicht entgegenstehen respektive derartige psychische Probleme bei Bedarf im Heimatland der Beschwerdeführenden behandelbar sind (vgl. insbesondere zur Diagnose «(…)»: Urteil des BVGer E-2860/2022 vom 12. Juni 2024 E. 7.3.6), dass auch die Geburt des gemeinsamen Sohnes der Beschwerdeführen- den am (…) nicht gegen den Wegweisungsvollzug spricht, zumal weder aus der Beschwerde noch aus den Akten ersichtlich ist, inwiefern dieser das Kindeswohl beeinträchtigen würde,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den Beschwerdefüh- renden aufzuerlegen (Art. 63 Abs. 1 VwVG) und auf insgesamt Fr. 750.– festzusetzen sind (Art. 1–3 des Reglements vom 21. Februar 2008 über die Kosten und Entschädigungen vor dem Bundesverwaltungsgericht [VGKE, SR 173.320.2]), dass der einbezahlte Kostenvorschuss zur Begleichung der Verfahrens- kosten zu verwenden ist. (Dispositiv nächste Seite)</w:t>
      </w:r>
    </w:p>
    <w:p>
      <w:r>
        <w:t>E-3284/2024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