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E-3284/2021 vom 27. April 2023</w:t>
      </w:r>
    </w:p>
    <w:p>
      <w:r>
        <w:t>Bundesverwaltungsgericht, 2023-04-27, DE</w:t>
      </w:r>
    </w:p>
    <w:p>
      <w:r>
        <w:rPr>
          <w:b/>
        </w:rPr>
        <w:t xml:space="preserve">Quelle: </w:t>
      </w:r>
      <w:r>
        <w:t>https://mcp.opencaselaw.ch/entscheid/bvger_E-3284_2021</w:t>
      </w:r>
    </w:p>
    <w:p>
      <w:r>
        <w:t>FR: TAF E-3284/2021 du 27 avril 2023</w:t>
      </w:r>
    </w:p>
    <w:p>
      <w:r>
        <w:t>IT: TAF E-3284/2021 del 27 aprile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w:t>
      </w:r>
    </w:p>
    <w:p>
      <w:r>
        <w:t>E-3284/2021 Seite 7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der Beschwerdeführerin hielten den Anforderungen von Art. 3 AsylG an die Flüchtlingseigenschaft nicht stand. Eine Verfolgung sei flüchtlingsrechtlich relevant, wenn sie aus einem in Art. 3 Abs. 1 AsylG ge- nannten Motiv erfolgt sei oder künftig drohe. Die Verfolgung ziele auf das Sein einer Person und nicht auf deren Tun ab. Die von ihr geltend ge- machte Verfolgung sei jedoch nicht politischer Natur und basiere somit</w:t>
      </w:r>
    </w:p>
    <w:p>
      <w:r>
        <w:t>E-3284/2021 Seite 8 nicht auf einem der in Art. 3 Abs. 1 AsylG genannten Motive. Der Verfol- gungsgrund sei vielmehr krimineller Natur, denn es gehe um Korruption und Machterhalt der beteiligten Parteien mittels krimineller Mittel. Weiter habe sie geltend gemacht, Opfer von Menschenhändlern geworden und durch falsche Versprechen und Täuschung nach Europa gebracht wor- den zu sein. Dadurch, dass sie durch Täuschung im Ausland in eine men- schenunwürdige Lage geraten sei, seien für sie objektive Nachflucht- gründe entstanden. Die Verfolgung sei erst im Drittstaat – namentlich der Schweiz – entstanden. Objektive Nachfluchtgründe seien grundsätzlich flüchtlingsrechtlich relevant. Obschon den frauenspezifischen Fluchtgrün- den Rechnung zu tragen sei, müsse zudem ein Verfolgungsmotiv im Sinne von Art. 3 Abs. 1 AsylG gegeben sein. Ein solches Verfolgungsmotiv sei in ihrem Fall jedoch nicht ersichtlich, da das weibliche Geschlecht nur in Fäl- len von staatlicher Diskriminierung ein Verfolgungsmotiv im Sinne von Art. 3 Abs. 1 in Verbindung mit Abs. 2 AsylG darstelle. Dies sei im Fall von Kenia nicht gegeben. Der kenianische Staat benachteilige die Frauen nicht grundsätzlich aufgrund ihres Geschlechts. Deswegen hielten auch ihre diesbezüglichen Vorbringen den Anforderungen an die Flüchtlingseigen- schaft gemäss Art. 3 AsylG nicht stand. Da sich aus den Akten jedoch eine konkrete Gefahr dafür ergebe, dass ihr im Falle einer Rückkehr in den Heimatstaat eine durch Art. 3 EMRK verbo- tene Strafe oder Behandlung drohe, sei der Vollzug der Wegweisung ge- genwärtig unzulässig.</w:t>
      </w:r>
    </w:p>
    <w:p>
      <w:r>
        <w:rPr>
          <w:b/>
        </w:rPr>
        <w:t>E. 5.2.1</w:t>
      </w:r>
    </w:p>
    <w:p>
      <w:r>
        <w:t>Zur Begründung ihrer Beschwerde hielt die Beschwerdeführerin ein- gangs fest, dass ihr bei einer Rückkehr nach Kenia ernsthafte Nachteilte drohten. Weiter sei festzuhalten, dass sie bereits vor ihrer Flucht Opfer schwerer körperlicher und sexueller Übergriffe geworden sei und ihr bei einer allfälligen Rückkehr in ihr Heimatland weiterhin durch D._______ und dessen Komplizen Gefahr an Leib und Leben drohe. Betreffend den Tatbe- stand des Menschenhandels bestehe bei einer Rückkehr die Gefahr, dass sie vom Menschenhändler und seinen Komplizen ausfindig gemacht würde. Vor dem Hintergrund, dass er ihre Mutter seit ihrer Flucht aufgrund der noch nicht beglichenen Schulden immer wieder kontaktiert und bedroht habe, sei sowohl die Gefahr eines Re-Traffickings als auch von Einschüch- terungs- und Vergeltungsmassnahmen durch die kenianischen Menschen- händler gegeben und damit die Furcht vor Verfolgung im Sinne von Art. 3 AsylG zu bejahen. Die Vorinstanz habe sowohl hinsichtlich der Vorbringen</w:t>
      </w:r>
    </w:p>
    <w:p>
      <w:r>
        <w:t>E-3284/2021 Seite 9 im Zusammenhang mit der Ermordung des Ehemannes als auch des Men- schenhandels ein flüchtlingsrechtlich relevantes Verfolgungsmotiv ver- neint. Die Vorinstanz sei dabei aber fälschlicherweise von einer staatlichen Verfolgung ausgegangen. Da es sich aber um eine Verfolgung durch nicht- staatliche Akteure handle, sei ferner auf die Frage der Schutzwilligkeit und –fähigkeit des kenianischen Staates näher einzugehen. Die Ermordung ih- res Ehemannes im Auftrag D._______ enthalte durchaus eine politische Komponente. Ein gewichtiges Indiz für den fehlenden staatlichen Schutz stellte bereits die fehlende Ermittlung der Polizei im Mordfall ihres Eheman- nes, wie auch in übrigen Morden im Zusammenhang mit (…), dar. D._______ habe sich seines Einflusses als [Politiker] bedient, ohne irgend- welche Konsequenzen befürchten zu müssen. Aufgrund seines nach wie vor bestehenden politischen Einflusses versage der staatliche Schutz, da die kenianischen Behörden nicht willens seien respektive gewesen seien, ihr Schutz zu gewähren. Hinzu komme, dass Frauen, welche wie sie Opfer sexueller Gewalt geworden seien, in Kenia aufgrund ihres Geschlechts häufig kein hinreichender Schutz gewährt werde. Es bestünden somit kon- krete Hinweise für die fehlende Schutzwilligkeit des kenianischen Staates, da D._______ nach wie vor einen grossen Einfluss auf die Polizei und die kenianischen Behörden verfüge. Es wäre ihr sodann auch nicht zuzumu- ten, staatlichen Schutz in Anspruch zu nehmen, zumal sie sich mit einer Strafanzeige der konkreten Gefahr weiterer Verfolgungsmassnahmen aus- setzen würde. Die Verfolgung würde zweifellos von den gleichen Akteuren ausgehen, gegen welche eine Strafanzeige hätte eingereicht werden müs- sen. Ihr stehe sodann keine innerstaatliche Fluchtalternative zur Verfü- gung, zumal D._______ und seine Komplizen im ganzen Land gut vernetzt seien. Im Übrigen habe auch das SEM das Fehlen staatlichen Schutzes anerkannt, indem es im Falle ihrer Rückkehr von einer konkreten Gefahr im Sinne von Art. 3 EMRK ausgegangen sei. Damit sei die Asylrelevanz ihrer Vorbringen gegeben.</w:t>
      </w:r>
    </w:p>
    <w:p>
      <w:r>
        <w:rPr>
          <w:b/>
        </w:rPr>
        <w:t>E. 5.2.2</w:t>
      </w:r>
    </w:p>
    <w:p>
      <w:r>
        <w:t>Hinsichtlich des Menschenhandels-Aspekts kritisierte die Beschwer- deführerin die aktuelle Rechtsprechungspraxis, wonach Menschenhandel an kein flüchtlingsrechtliches Merkmal anknüpfe und es sich dabei um ein rein kriminell motiviertes Verbrechen handle. Opfer von Menschenhandel seien aber meist nicht zufällig zu Opfern geworden, sondern aufgrund be- stimmter sozialer Merkmale von den Tätern ausgewählt worden. Sie sei aufgrund ihres Geschlechts, ihrer Eigenschaft als Witwe, ihrer so- zialen und wirtschaftlichen Stellung und insbesondere aufgrund ihrer sexu-</w:t>
      </w:r>
    </w:p>
    <w:p>
      <w:r>
        <w:t>E-3284/2021 Seite 10 ellen Verwertbarkeit zu wirtschaftlichen Zwecken Opfer von Menschenhan- del geworden. Als Opfer von Menschenhandel bestehe bei einer Rückkehr nach Kenia noch mehr die Gefahr, dass sie von ihnen ausfindig gemacht und wieder gehandelt werde. Sodann bestehe bei einer Rückkehr die Ge- fahr von Stigmatisierung, Diskriminierung und sozialem Ausschluss. Ein asylrelevantes Verfolgungsmotiv sei aus ihrer Sicht daher zu bejahen. Vorliegend fehle auch im Zusammenhang mit Menschenhandel der staat- liche Schutz – dies sei durch das SEM auch anerkannt worden. In Kenia stehe ihr auch keine innerstaatliche Fluchtalternative offen.</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6.2</w:t>
      </w:r>
    </w:p>
    <w:p>
      <w:r>
        <w:t>Es ist mit der Vorinstanz festzustellen, dass der geschilderten Verfol- gung kein erkennbares Motiv im Sinne von Art. 3 AsylG zugrunde liegt. Der Umstand, dass es sich bei der Person, von welcher die Verfolgung aus- gehe, um einen ehemaligen (korrupten) Amtsträger handelt, führt vorlie- gend nicht zur Annahme einer politischen Verfolgung im Sinne der genann- ten Bestimmung, auch wenn ein möglicher Einfluss auf die örtlichen Straf- verfolgungsbehörden nicht ausgeschlossen werden kann. Es sind keine Anzeichen ersichtlich, welche zur Annahme führen könnten, dass die Ver- folgung aus anderen als eigensüchtigen, kriminellen Gründen erfolgt ist. Die Verfolgung geht vorliegend von einer Drittperson aus, womit es sich nicht um eine staatliche Verfolgung handelt. Dabei verkennt die Beschwer- deführerin in ihrer Beschwerdebegründung, dass auch nicht-staatlicher Verfolgung ein entsprechendes Motiv zugrunde liegen muss, um die Flüchtlingseigenschaft zu bejahen.</w:t>
      </w:r>
    </w:p>
    <w:p>
      <w:r>
        <w:t>E-3284/2021 Seite 11 Es kann aber nicht ausgeschlossen werden, dass der Beschwerdeführerin – aus kriminellen Gründen und aufgrund der Korruption der örtlichen Be- hörden – der benötigte staatliche Schutz verweigert wurde respektive im Falle einer Rückkehr verweigert würde und sie dadurch Gefahr liefe, eine durch Art. 3 EMRK verbotene Strafe oder Behandlung zu erfahren. Dieser Gefahr hat die Vorinstanz mit der Feststellung der Unzulässigkeit des Weg- weisungsvollzugs und der Anordnung der vorläufigen Aufnahme bereits Rechnung getragen (vgl. auch Urteile des BVGer D-1836/2020 vom 16. April 2020 E. 3.2.4; Urteile des BGer 2C_868/2016 und 2C_869/2016 vom 23. Juni 2017 E. 5.2.2; Urteil des EGMR J.K. et al. gegen Schweden vom 23. August 2016, Grosse Kammer 59166/12, § 50; je m.w.H.). Im Üb- rigen ist fraglich, inwiefern D._______ im heutigen Zeitpunkt nach wie vor über Einfluss über die Behörden verfügt, zumal sich auch die in der Ein- gabe an das SEM vom 19. April 2021 (vgl. vorinstanzliche Akten 1059083- 52/6 S. 2) sinngemäss geäusserte Befürchtung, D._______ oder auch E._______ könnten die Wahlen im Jahr (…) erneut gewinnen, nicht be- wahrheitet hat (vgl. &lt; […] &gt;, zuletzt abgerufen am 1. Februar 2023). Auf weitere Ausführungen zur Aktualität der Verfolgungsfurcht kann infolge Ver- neinung eines relevanten Verfolgungsmotivs allerdings verzichtet werden.</w:t>
      </w:r>
    </w:p>
    <w:p>
      <w:r>
        <w:rPr>
          <w:b/>
        </w:rPr>
        <w:t>E. 6.3</w:t>
      </w:r>
    </w:p>
    <w:p>
      <w:r>
        <w:t>Auch der Umstand, dass die Beschwerdeführerin Opfer von Men- schenhandel geworden ist, ist gemäss ständiger Praxis des Bundesverwal- tungsgerichts nicht geeignet, die Flüchtlingseigenschaft zu begründen. Die Problematik des Menschenhandels knüpft grundsätzlich nicht an ein flücht- lingsrechtliches Merkmal an. Vielmehr handelt es sich dabei um ein aus- schliesslich gemeinrechtlich motiviertes Verbrechen ohne asylrelevantes Motiv. Einer möglichen Gefährdung ist daher im Rahmen der zu prüfenden Wegweisungsvollzugshindernisse, insbesondere nach Art. 3 und 4 EMRK, Rechnung zu tragen (vgl. BVGE 2016/27, insb. E. 5.3.1; Urteil des BVGer E-6484/2020 vom 7. November 2022 E. 5.3 m.w.H.). Entsprechend dieser Praxis hat das SEM die Unzulässigkeit des Wegwei- sungsvollzugs festgestellt und die vorläufige Aufnahme der Beschwerde- führerin in der Schweiz angeordnet. Das Gericht sieht vorliegend auch un- ter Berücksichtigung der Beschwerdeausführungen keine Gründe, auf diese Praxis zurückzukommen. Die Frage der Schutzwilligkeit und Schutz- fähigkeit der kenianischen Behörden kann an dieser Stelle offenbleiben. Im Übrigen kann auf die zutreffenden Erwägungen der Vorinstanz in der angefochtenen Verfügung verwiesen werden (vgl. dort Ziff. III).</w:t>
      </w:r>
    </w:p>
    <w:p>
      <w:r>
        <w:t>E-3284/2021 Seite 12</w:t>
      </w:r>
    </w:p>
    <w:p>
      <w:r>
        <w:rPr>
          <w:b/>
        </w:rPr>
        <w:t>E. 6.4</w:t>
      </w:r>
    </w:p>
    <w:p>
      <w:r>
        <w:t>Nach dem Ausgeführten hat das SEM die Flüchtlingseigenschaft der Beschwerdeführerin zu Recht verneint und ihr Asylgesuch folgerichtig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 Nachdem das SEM mit Verfügung vom 15. Juni 2021 die Unzulässigkeit des Wegweisungsvollzugs festgestellt und die vorläufige Aufnahme der Beschwerdeführerin angeordnet hat, er- übrigen sich praxisgemäss weitere Ausführungen zur Zulässigkeit und Möglichkeit des Wegweisungsvollzugs (vgl. BVGE 2011/7 E. 8; 2009/51 E. 5.4).</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Dem Ausgang des Verfahrens entsprechend wären die Kosten der mit ihren Begehren unterlegenen Beschwerdeführerin aufzuerlegen (Art. 63 Abs. 1 und 5 VwVG). Da jedoch aufgrund der eingereichten Fürsorgebe- stätigung sowie mangels Hinweisen auf eine massgebliche zwischenzeitli- che Veränderung von ihrer Bedürftigkeit auszugehen ist und sich die Be- schwerde zum Zeitpunkt der Einreichung nicht als aussichtslos präsen- tierte, ist das Gesuch um Gewährung der unentgeltlichen Prozessführung gemäss Art. 65 Abs. 1 VwVG gutzuheissen und auf die Erhebung von Ver- fahrenskosten zu verzichten.</w:t>
      </w:r>
    </w:p>
    <w:p>
      <w:r>
        <w:t>E-3284/2021 Seite 13</w:t>
      </w:r>
    </w:p>
    <w:p>
      <w:r>
        <w:rPr>
          <w:b/>
        </w:rPr>
        <w:t>E. 9.2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antrags- gemäss MLaw Daniela Candinas als amtliche Rechtsbeiständin der Be- schwerdeführerin einzusetzen. Ihr ist ein amtliches Honorar zu entrichten. Mangels gegenteiliger Hinweise seitens der vormaligen Rechtsvertreterin Jelena Pokorny-Isailovic und in Anbetracht dessen, dass die rubrizierte Rechtsvertreterin ebenfalls beim Rechtsschutz für Asylsuchende BAZ B._______ tätig ist, ist davon auszugehen, dass die vormalige Rechtsver- treterin ihr Honorar an den Rechtsschutz für Asylsuchende abgetreten hat. Bei amtlicher Vertretung geht das Bundesverwaltungsgericht in der Regel von einem Stundenansatz von Fr. 100.– bis Fr. 150.– für nicht-anwaltliche Vertreterinnen und Vertreter aus (vgl. Art. 12 i.V.m. Art. 10 Abs. 2 VGKE). Es wurde keine Kostennote eingereicht. Auf die Nachforderung einer sol- chen kann vorliegend jedoch verzichtet werden, da sich der Vertretungs- aufwand zuverlässig aus den Akten abschätzen lässt (Art. 14 Abs. 2 in fine VGKE). Unter Berücksichtigung der massgebenden Berechnungsfaktoren ist ein amtliches Honorar von insgesamt Fr. 930.– (inklusive Auslagen) als angemessen zu veranschlagen.</w:t>
      </w:r>
    </w:p>
    <w:p>
      <w:r>
        <w:t>(Dispositiv nächste Seite)</w:t>
      </w:r>
    </w:p>
    <w:p>
      <w:r>
        <w:t>E-3284/2021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