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E-3283/2013 vom 13. Juni 2013</w:t>
      </w:r>
    </w:p>
    <w:p>
      <w:r>
        <w:t>Bundesverwaltungsgericht, 2013-06-13, DE</w:t>
      </w:r>
    </w:p>
    <w:p>
      <w:r>
        <w:rPr>
          <w:b/>
        </w:rPr>
        <w:t xml:space="preserve">Quelle: </w:t>
      </w:r>
      <w:r>
        <w:t>https://mcp.opencaselaw.ch/entscheid/bvger_E-3283_2013</w:t>
      </w:r>
    </w:p>
    <w:p>
      <w:r>
        <w:t>FR: TAF E-3283/2013 du 13 juin 2013</w:t>
      </w:r>
    </w:p>
    <w:p>
      <w:r>
        <w:t>IT: TAF E-3283/2013 del 13 giugno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weshalb praxisgemäss auf die Einholung einer Übersetzung in eine Amtssprache zu verzichten ist (vgl. statt vieler Urteil des Bundesverwaltungsgerichts E-5509/2011 vom 22. November 2011).</w:t>
      </w:r>
    </w:p>
    <w:p>
      <w:r>
        <w:rPr>
          <w:b/>
        </w:rPr>
        <w:t>E. 1.3</w:t>
      </w:r>
    </w:p>
    <w:p>
      <w:r>
        <w:t>Die Beschwerdeführerin ist als Verfügungsadressatin zur Beschwerdeführung legitimiert (Art. 48 VwVG). Auf die frist- und formgerecht eingereichte Beschwerde (Art. 52 VwVG und Art. 108 Abs. 1 AsylG)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in der bisherigen Fassung.</w:t>
      </w:r>
    </w:p>
    <w:p>
      <w:r>
        <w:rPr>
          <w:b/>
        </w:rPr>
        <w:t>E. 5.1</w:t>
      </w:r>
    </w:p>
    <w:p>
      <w:r>
        <w:t>Ein Asylgesuch kann gemäss Art. 19 Abs. 1 AsylG im Ausland bei einer schweizerischen Vertretung gestellt werden, die es mit einem Bericht an das Bundesamt überweist (Art. 20 Abs. 1 AsylG).</w:t>
      </w:r>
    </w:p>
    <w:p>
      <w:r>
        <w:rPr>
          <w:b/>
        </w:rPr>
        <w:t>E. 5.2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5.4</w:t>
      </w:r>
    </w:p>
    <w:p>
      <w:r>
        <w:t>Nach Art. 52 Abs. 2 AsylG kann einer Person, die sich im Ausland befindet, das Asyl verweigert werden, wenn es ihr zugemutet werden kann, sich in einem anderen Staat um Aufnahme zu bemühen.</w:t>
      </w:r>
    </w:p>
    <w:p>
      <w:r>
        <w:rPr>
          <w:b/>
        </w:rPr>
        <w:t>E. 6.1</w:t>
      </w:r>
    </w:p>
    <w:p>
      <w:r>
        <w:t>Die Vorinstanz stellt in der angefochtenen Verfügung fest, die Bewilligung der Einreise in die Schweiz diene nicht dem Ausgleich vergangenen Unrechts, sondern soll denjenigen gewährt werden, die aktuell des Schutzes des Zufluchtstaates bedürften. Die Ausreise der Beschwerdeführerin aus Eritrea aufgrund einer befürchteten Zwangsverheiratung liege 33 Jahre zurück und die persönlichen Nachteile in Eritrea seien mit der Einreise in Äthiopien beziehungsweise den Sudan als beendet zu betrachten. Zwischen den vorgebrachten Ereignissen und der gewünschten Einreise in die Schweiz zum jetzigen Zeitpunkt bestehe kein genügend enger zeitlicher und inhaltlicher Kausalzusammenhang. Es erübrige sich deshalb zu prüfen, ob einer allfälligen Asylgewährung durch die Schweiz der Asylausschlussgrund von Art. 52 Abs. 2 AsylG entgegenstehe.</w:t>
      </w:r>
    </w:p>
    <w:p>
      <w:r>
        <w:rPr>
          <w:b/>
        </w:rPr>
        <w:t>E. 6.2</w:t>
      </w:r>
    </w:p>
    <w:p>
      <w:r>
        <w:t>Das Gericht anerkennt die grundsätzlich schwierige Lage für eritreische Flüchtlinge im Sudan. Indes legt die Beschwerdeführerin in der Rechtsmitteleingabe mit dem Verweisen auf ihre bisherigen Ausführungen in den Eingaben an die Vorinstanz nicht dar, inwiefern ihr persönlich ein weiterer dortiger Aufenthalt nicht zumutbar und möglich ist. Dieser Schluss wir dadurch bestätigt, dass die Beschwerdeführerin nunmehr seit rund 20 Jahren im Sudan lebt, und abgesehen von einer anerkannt schwierigen Lebenssituation keine Benachteiligungen seitens der sudanesischen Behörden im Sinne des Asylgesetzes anführt. Als vom UNHCR registrierter Flüchtling kann sie sich jederzeit an die Organisation wenden und deren Schutz in Anspruch nehmen. Ihr und ihren Kindern wird bei Bedarf die notwendige Grundversorgung gewährt. Soweit die Beschwerdeführerin geltend macht, die eritreischen Behörden wüssten um ihre Religionszugehörigkeit zu den Zeugen Jehovas, ist sie als vom UNHCR anerkannter Flüchtling nicht gehalten, in ihren Heimatstaat zurückzukehren. Schliesslich ist festzuhalten, dass die Beschwerdeführerin keine Beziehungsnähe zur Schweiz anführt.</w:t>
      </w:r>
    </w:p>
    <w:p>
      <w:r>
        <w:rPr>
          <w:b/>
        </w:rPr>
        <w:t>E. 6.3</w:t>
      </w:r>
    </w:p>
    <w:p>
      <w:r>
        <w:t>Zusammenfassend ist festzustellen, dass der Beschwerdeführerin und ihren Kindern ein weiterer Verbleib im Sudan zumutbar ist und sie auf den Schutz der Schweiz nicht angewiesen sind. Die Vorinstanz hat demnach der Beschwerdeführerin und ihren Kindern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