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E-3283/2009 vom 2. August 2012</w:t>
      </w:r>
    </w:p>
    <w:p>
      <w:r>
        <w:t>Bundesverwaltungsgericht, 2012-08-02, DE</w:t>
      </w:r>
    </w:p>
    <w:p>
      <w:r>
        <w:rPr>
          <w:b/>
        </w:rPr>
        <w:t xml:space="preserve">Quelle: </w:t>
      </w:r>
      <w:r>
        <w:t>https://mcp.opencaselaw.ch/entscheid/bvger_E-3283_2009</w:t>
      </w:r>
    </w:p>
    <w:p>
      <w:r>
        <w:t>FR: TAF E-3283/2009 du 2 août 2012</w:t>
      </w:r>
    </w:p>
    <w:p>
      <w:r>
        <w:t>IT: TAF E-3283/2009 del 2 agosto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Gemäss Art. 3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Vorinstanz kommt in der angefochtenen Verfügung zum Schluss, dass die Vorbringen der Beschwerdeführenden zum einen den Anforderungen an die Glaubhaftigkeit gemäss Art. 7 AsylG nicht standhielten, so dass ihre Asylrelevanz nicht geprüft werden müsse. Zum anderen nimmt sie an, dass sie auch den Anforderungen an die Flüchtlingseigenschaft im Sinne von Art. 3 AsylG nicht genügten. Zu Art. 7 AsylG führt sie aus, der Beschwerdeführer habe sich unterschiedlich zum Zeitpunkt der Festnahmen und dem Inhalt der Verhöre geäussert. Die Beschwerdeführerin ihrerseits habe zunächst Schikanen durch die heimatlichen Behörden gemacht, später solche indes verneint. Der von den Beschwerdeführenden vorgetragene Sachverhalt sei weitgehend unsubstantiiert und würde aufgrund des einfachen Aufbaus nicht den Eindruck erwecken, es werde über tatsächlich persönlich Erlebtes berichtet. Auch habe der Beschwerdeführer seine Aussagen im Laufe der Anhörung offensichtlich angepasst. Zu Art. 3 AsylG hält die Vorinstanz fest, aufgrund der eingereichten Identitätskarten für palästinensische Flüchtlinge und des Lingua-Gutachtens könne davon ausgegangen werden, dass die Beschwerdeführenden Palästinenser aus dem Libanon seien. Gemäss gefestigter Praxis der Asylbehörden begründe indes allein die Zugehörigkeit zur palästinensischen Volksgruppe im Libanon keine Kollektivverfolgung (Urteil des Bundesverwaltungsgerichts D-3731/2008 vom 12. Juni 2008). Zwar gestalte sich ihre Lage vor allen in den Flüchtlingslagern schwierig und würden trotz Lockerungen Beschränkungen bezüglich der Wahl beruflicher Tätigkeiten bestehen. Auch sei die Erlangung der libanesischen Staatsangehörigkeit aus sicherheitspolitischen Überlegungen und aus Furcht vor einer Verschiebung der heiklen religiösen und politischen Balance des Landes nicht vorgesehen. Die Grundversorgung werde weniger von staatlichen Institutionen wahrgenommen als vielmehr von der UNRWA. Auf der anderen Seite würden die Palästinenser im Libanon ein erhebliches Mass an Autonomie geniessen, namentlich in den von ihnen kontrollierten Lagern. Die von den Beschwerdeführenden geltend gemachte schlechte Situation der palästinensischen Flüchtlinge im Libanon sei auf die allgemeinen politischen, wirtschaftlichen oder sozialen Lebensbedingungen im Land zurückzuführen und stellten keine asylbeachtliche Verfolgung dar.</w:t>
      </w:r>
    </w:p>
    <w:p>
      <w:r>
        <w:rPr>
          <w:b/>
        </w:rPr>
        <w:t>E. 4.1</w:t>
      </w:r>
    </w:p>
    <w:p>
      <w:r>
        <w:t>Die Beschwerdeführenden rügen vorweg eine Verletzung des Akteneinsichtsrechts. Die Rüge ist bereits mit Zwischenverfügung vom 28. Mai 2009 behandelt worden. Die damals zuständige Instruktionsrichterin hat ihr teilweise entsprochen und die nicht korrekt edierten Aktenstücke den Beschwerdeführenden zur Einsicht zugestellt (vgl. vorstehend Erw. G).</w:t>
      </w:r>
    </w:p>
    <w:p>
      <w:r>
        <w:rPr>
          <w:b/>
        </w:rPr>
        <w:t>E. 4.2</w:t>
      </w:r>
    </w:p>
    <w:p>
      <w:r>
        <w:t>Die Vorinstanz begründet den ablehnenden Asylentscheid damit, dass die Vorbringen der Beschwerdeführenden weder den Anforderungen von Art. 7 AsylG (Nachweis der Flüchtlingseigenschaft) noch denjenigen von Art. 3 AsylG (Flüchtlingseigenschaft) standhalten würden. Die Beschwerde richtet sich gegen die vorinstanzliche Beweiswürdigung. Diese sei willkürlich und aktenwidrig. Aktenwidrig sei die Beweiswürdigung, weil sie Widersprüche zu Details überbewerte und die Essenz der Aussagen verzerre. Soweit rechtserheblich, seien die Beschwerdeführenden zu den angeblichen Widersprüche nochmals zu befragen. Die Schlussfolgerungen seien überdies unangemessen. Mit den vorinstanzlichen Erwägungen zu Art. 3 AsylG setzt sich die Beschwerde nicht weiter auseinander.</w:t>
      </w:r>
    </w:p>
    <w:p>
      <w:r>
        <w:rPr>
          <w:b/>
        </w:rPr>
        <w:t>E. 4.3</w:t>
      </w:r>
    </w:p>
    <w:p>
      <w:r>
        <w:t>Das Bundesverwaltungsgericht kann die Frage, ob die Vorinstanz den Massstab des Glaubhaftmachens gemäss Art. 7 AsylG korrekt angewendet hat, offen lassen, wenn sich erweist, dass die Vorbringen der Beschwerdeführenden den Anforderungen an die Flüchtlingseigenschaft nicht zu genügen vermögen. In diesem Fall kann der rechtserhebliche Sachverhalt als wahr unterstellt werden.</w:t>
      </w:r>
    </w:p>
    <w:p>
      <w:r>
        <w:rPr>
          <w:b/>
        </w:rPr>
        <w:t>E. 4.3.1</w:t>
      </w:r>
    </w:p>
    <w:p>
      <w:r>
        <w:t>Aufgrund der Akten ergibt sich folgender Sachverhalt: Die Beschwerdeführenden lebten im Flüchtlingslager Nahr el-Bared. Zwischen Mai und dem 2. September 2007 kam es dort zu heftigen Kämpfen zwischen der libanesischen Armee und der Fatah al-Islam. Dabei wurden zahlreiche Häuser, so auch dasjenige der Beschwerdeführenden zerstört, und sie verloren ihr Hab und Gut, wie viele ihrer Verwandten ebenfalls. Die Beschwerdeführenden flüchteten ins Flüchtlingslager Beddawi. Dabei wurde der Beschwerdeführer zweimal kurz festgenommen. Nach rund einem Monat im Lager Beddawi lebten die Beschwerdeführenden während dreier Monate in einer Wohnung in Wadi el-Zein, bevor sie wieder ins Lager Beddawi zurückkehrten. Die Beschwerdeführenden begründen ihre Gesuche mit diesen Vorkommnissen sowie den schwierigen Lebensbedingungen für sie als palästinensische Flüchtlinge.</w:t>
      </w:r>
    </w:p>
    <w:p>
      <w:r>
        <w:rPr>
          <w:b/>
        </w:rPr>
        <w:t>E. 4.3.2</w:t>
      </w:r>
    </w:p>
    <w:p>
      <w:r>
        <w:t>Das Gericht übersieht die beiden Festnahmen des Beschwerdeführers sowie die grossen Verluste der Beschwerdeführenden und ihrer Angehörigen nicht. Diese stehen indes offensichtlich im Zusammenhang mit den Vorkommnissen im Lager Nahr el-Bared und sind nicht asylrelevant. Nach konstanter Rechtsprechung dient die Gewährung von Asyl nicht dem Ausgleich erlittener Nachteile, sondern dem Schutz vor nachweislicher Verfolgung (Urteil des Bundesverwaltungsgericht D-6827/2010 vom 2. Mai 2011, E. 3.1.1 mit zahlreichen Hinweisen). Die Beschwerdeführenden legen in der Beschwerde nicht dar, inwiefern sie den Herkunftsstaat aus begründeter Furcht vor gezielter, intensiver und noch aktueller Verfolgung verlassen haben, weil sie dort keinen staatlichen Schutz beanspruchen können. Solches ist auch nicht ersichtlich. Namentlich steht fest, dass die Beschwerdeführenden sich nach dem Verlassen des Flüchtlingslagers Nahr el-Bared unbehelligt und ohne Probleme im Lager Beddawi sowie in Wadi el-Zein aufhalten konnten. Dies zeigt, dass sie sich im Libanon nicht in einer Verfolgungs- und ausweglosen Situation befanden. Übrigens konnten sie und können sie auf eine unter Sicherheitsaspekten valable innerstaatliche Schutzalternative zurückgreifen. Konkrete Anhaltspunkte, dass den Beschwerdeführenden eine entsprechende Niederlassung und damit die Inanspruchnahme dieser Schutzalternative nicht zuzumuten wäre (vgl. dazu BVGE E-2092/2009 vom 20. Januar 2012 Erw. 6.4.3), sind auch keine ersichtlich. Sodann stellt die geltend gemachte schwierige Lebenssituation, insbesondere der Umstand, dass es für palästinensische Flüchtlinge ausserhalb von Lagern schwierig ist, Arbeit zu finden und Privatbesitz zu erlangen, gemäss ständiger Rechtsprechung keinen Nachteil im Sinne von Art. 3 AsylG dar (statt vieler Urteil des Bundesverwaltungsgerichtes E-6972/2009 vom 11. November 2011). Die Vorinstanz hat demzufolge die Asylgesuche im Ergebnis zu Recht abgelehnt.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konkrete Anhaltspunkte dafür, dass sie für den Fall einer Ausschaffung in den Libanon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Beschwerdeführenden sind palästinensischer Ethnie, wurden beide im Libanon geboren und lebten bis kurz vor ihrer Ausreise im Flüchtlingslager Nahr el-Bared bei Tripolis im Libanon. Gemäss ihren Angaben lebt der grösste Teil ihrer sehr grosse Verwandtschaft - der Beschwerdeführer hat elf Geschwister und sieben Halbgeschwister, die Beschwerdeführerin hat fünf Geschwister - nach wie vor im Libanon. Damit verfügen sie bei einer Rückkehr über ein bestehendes Beziehungsnetz, auf welches sie in jeder Beziehung zurückgreifen können. Sodann verfügt der Beschwerdeführer über eine Ausbildung und mehrjährige Berufserfahrung als H._______. Vor diesem Hintergrund ist davon auszugehen, dass die Beschwerdeführenden bei einer Rückkehr in den Libanon eine neue Existenz aufbauen können. Der Umstand, dass zwei Kinder in der Schweiz zur Welt gekommen sind, stellt kein Vollzugshindernis dar. Die heute zwei und vier Jahre alten Kinder sind noch gänzlich auf ihre Eltern angewiesen und ohne eigene Sozialisation (vgl. dazu BVGE 2009/28 E. 9.3.2 S.267 f. und BVGE 2009/51 E. 5.6 S. 749 mit weiteren Hinweisen). Der Vollzug der Wegweisung ist daher zumutbar.</w:t>
      </w:r>
    </w:p>
    <w:p>
      <w:r>
        <w:rPr>
          <w:b/>
        </w:rPr>
        <w:t>E. 6.4</w:t>
      </w:r>
    </w:p>
    <w:p>
      <w:r>
        <w:t>Es obliegt den Beschwerdeführenden, welche im Besitze von Identitätsausweisen für Flüchtlinge sind, sich bei der zuständigen Vertretung des Libanons die für eine Rückkehr notwendigen Reisedokumente zu beschaffen (Art. 8 Abs. 4 AsylG; BVGE 2008/34 E. 12), weshalb der Vollzug der Wegweisung im Sinne von Art. 83 Abs. 2 AuG möglich ist.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von Fr. 600. - (Art. 1 - 3 des Reglements vom 21. Februar 2008 über die Kosten und Entschädigungen vor dem Bundesverwaltungsgericht [VGKE], SR 173.320.2) den Beschwerdeführenden aufzuerlegen (Art. 63 Abs. 1 VwVG) und mit dem am 8. Juni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