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E-3281/2021 vom 22. Juli 2021</w:t>
      </w:r>
    </w:p>
    <w:p>
      <w:r>
        <w:t>Bundesverwaltungsgericht, 2021-07-22, DE</w:t>
      </w:r>
    </w:p>
    <w:p>
      <w:r>
        <w:rPr>
          <w:b/>
        </w:rPr>
        <w:t xml:space="preserve">Quelle: </w:t>
      </w:r>
      <w:r>
        <w:t>https://mcp.opencaselaw.ch/entscheid/bvger_E-3281_2021</w:t>
      </w:r>
    </w:p>
    <w:p>
      <w:r>
        <w:t>FR: TAF E-3281/2021 du 22 juillet 2021</w:t>
      </w:r>
    </w:p>
    <w:p>
      <w:r>
        <w:t>IT: TAF E-3281/2021 del 22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4.4</w:t>
      </w:r>
    </w:p>
    <w:p>
      <w:r>
        <w:t>Die Beschwerdeführerin bestreitet nicht, sich mit ihren Kindern vor ihrer Einreise in die Schweiz in Kroatien aufgehalten zu haben und dort auch daktyloskopisch erfasst worden zu sein, was sich unbenommen von ihrer fehlenden Absicht, ein Asylgesuch zu stellen, als zuständigkeitsbegründend erweist (vgl. Art. 13 Abs. 1 Dublin-III-VO). Nachdem die kroatischen Behörden innert der in Art. 25 Abs. 2 Dublin-III-VO festgelegten Frist dem Wiederaufnahmegesuch der Vorinstanz zugestimmt haben, ist die Zuständigkeit Kroatiens grundsätzlich gegeben.</w:t>
      </w:r>
    </w:p>
    <w:p>
      <w:r>
        <w:rPr>
          <w:b/>
        </w:rPr>
        <w:t>E. 5</w:t>
      </w:r>
    </w:p>
    <w:p>
      <w:r>
        <w:t>In der Rechtsmitteleingabe wird im Wesentlichen vorgebracht, zahlreiche internationale Organisationen äusserten sich kritisch zur Lage in Kroatien. Ausserdem sei unter Verweis auf das Urteil E-3078/2019 des Bundesverwaltungsgerichts nicht garantiert, dass die Beschwerdeführerin und ihre Kinder bei einer Überstellung nach Kroatien Zugang zu einer angemessenen Unterbringung und Betreuung hätten, welche dem Kindeswohl entspreche. Auch eine unmenschliche beziehungsweise erniedrigende Behandlung könne nicht ausgeschlossen werden. Die Vorinstanz beschränke sich auf eine standardisierte Begründung, anstatt sich mit der Situation von Asylsuchenden, insbesondere auch mit derjenigen für Kleinkinder, im Detail zu befassen. Ferner bestehe keine Garantie, dass sie ein faires Asylverfahren durchlaufen könnten. Überdies bestünden für Dublin-Rückkehrende Probleme beim Zugang zur medizinischen Versorgung. Dies gelte insbesondere für psychisch Erkrankte. Die wiederholten Misshandlungen durch den Ehemann und die Erlebnisse auf der Flucht würden die Beschwerdeführerin psychisch schwer belasten, weshalb sie auf eine nahtlose psychologische Behandlung angewiesen sei. Gleiches gelte für die Tochter. Aus dem kroatischen Gerichtsdokument gehe zwar hervor, dass sie und ihre Kinder vom Ehemann respektive Vater misshandelt worden seien. Es sei aber nicht garantiert, dass die kroatischen Behörden sie vor weiteren Vorfällen schützen könnten. Bei einer Rückkehr nach Kroatien bestehe die Gefahr, dass die Kinder erneut der Gewalt des Vaters ausgesetzt wären, was gegen das Übereinkommen über die Rechte der Kinder (KRK SR 0.107 ) verstosse. Schliesslich befürchte sie bei Bekanntwerden ihrer psychischen Probleme eine Trennung von ihren Kindern.</w:t>
      </w:r>
    </w:p>
    <w:p>
      <w:r>
        <w:rPr>
          <w:b/>
        </w:rPr>
        <w:t>E. 6.1</w:t>
      </w:r>
    </w:p>
    <w:p>
      <w:r>
        <w:t>Im Lichte von Art. 3 Abs. 2 Dublin-III-VO ist vorerst zu prüfen, ob es wesentliche Gründe für die Annahme gibt, das Asylverfahren und die Aufnahmebedingungen für Asylsuchende in Kroatien würden systematische Schwachstellen aufweisen, die eine Gefahr einer unmenschlichen oder entwürdigenden Behandlung im Sinne des Artikel 4 der EU-Grundrechtecharta mit sich bringen würden.</w:t>
      </w:r>
    </w:p>
    <w:p>
      <w:r>
        <w:rPr>
          <w:b/>
        </w:rPr>
        <w:t>E. 6.2</w:t>
      </w:r>
    </w:p>
    <w:p>
      <w:r>
        <w:t>Wie die Vorinstanz zutreffend ausgeführt hat, ist Kroatien Vertragsstaat der EMRK, des Übereinkommens vom 10. Dezember 1984 gegen Folter und andere grausame, unmenschliche oder erniedrigende Behandlung oder Strafe (FoK, SR 0.105) sowie der FK,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Die Beschwerdeführerin macht mit Verweis auf ihre Erlebnisse in Kroatien (kein Zugang zum Asylverfahren, zu Unterbringung und medizinischer Versorgung) Mängel im kroatischen Asylsystem geltend. Gemäss Praxis des Bundesverwaltungsgerichts im Bereich der Wiederaufnahmeverfahren liegen indessen im heutigen Zeitpunkt keine Gründe für die Annahme vor, das Asylverfahren und die Aufnahmebedingungen für Antragstellende in Kroatien wiesen systemische Schwachstellen im Sinne von Art. 3 Abs. 2 Sätze 2 und 3 Dublin-III-VO auf (vgl. dazu beispielsweise die Urteile des BVGer F-1275/2021 vom 19. Mai 2021 E. 7.1.2; F-1182/2021 vom 24. März 2021 E. 5.2.2; D-644/2021 vom 18. Februar 2021 E. 7.2.2; E-5910/2020 vom 10. Dezember 2020 E. 7.2 und F-5436/2020 vom 10. November 2020 E. 5.2).</w:t>
      </w:r>
    </w:p>
    <w:p>
      <w:r>
        <w:rPr>
          <w:b/>
        </w:rPr>
        <w:t>E. 6.4</w:t>
      </w:r>
    </w:p>
    <w:p>
      <w:r>
        <w:t>Soweit die Beschwerdeführerin vorbringt, die Vorinstanz habe sich in der angefochtenen Verfügung auf eine standardisierte Begründung beschränkt, ist festzuhalten, dass die Vorinstanz in Beachtung des Referenz-urteils des Bundesverwaltungsgerichts E-3078/2019 vom 12. Juli 2019 eine Einzelfallprüfung vorgenommen hat und dabei unter Verweis auf die Abklärungen durch die Schweizer Botschaft in Kroatien zum Schluss gekommen ist, dass Personen, welche im Rahmen eines Dublin-Verfahrens nach Kroatien zurückgeführt werden, nicht von der problematischen Push-back-Praxis betroffen sind. Diesbezüglich kann zur Vermeidung von Wiederholungen auf die Erwägungen in der angefochtenen Verfügung verwiesen werden. Die Vorinstanz hat dort die Erkenntnisse aus den Abklärungen der Schweizer Botschaft in Kroatien zu den Push-backs und zu Dublin-Rückkehrenden in zusammengefasster Form wiedergegeben und nachvollziehbar aufgezeigt, von welchen Überlegungen sie sich hat leiten lassen. Damit ist sie ihrer Begründungspflicht in ausreichender Weise nachgekommen; zusätzlicher Informationen oder Quellenangaben bedurfte es nicht (vgl. Urteil des BVGer D-5691/2020 vom 9. Januar 2021 E. 4.3 m.H.).</w:t>
      </w:r>
    </w:p>
    <w:p>
      <w:r>
        <w:rPr>
          <w:b/>
        </w:rPr>
        <w:t>E. 6.5</w:t>
      </w:r>
    </w:p>
    <w:p>
      <w:r>
        <w:t>Gestützt auf die vorangegangenen Erwägungen ist auch unter Berücksichtigung der von der Beschwerdeführerin geschilderten Erlebnisse nicht davon auszugehen, Kroatien verstosse systematisch gegen seine vertraglichen Verpflichtungen. Im Übrigen haben die Beschwerdeführenden am 26. März 2021 in Kroatien bereits um Asyl ersucht. Aufgrund der Angaben der kroatischen Behörden im Zustimmungsschreiben vom 7. Juli 2021 ("... [...]) ist davon auszugehen, dass das Verfahren bei der Rückkehr weitergeführt wird. Die Beschwerdeführerin hat sodann auch nicht konkret dargetan, inwiefern die für sie und ihre Kinder bei einer Rückführung zu erwartenden Bedingungen in Kroatien derart schlecht seien, dass sie zu einer Verletzung von Art. 4 der EU-Grundrechtecharta, Art. 3 EMRK oder Art. 3 FoK führen könnten. Es ist deshalb auch nicht davon auszugehen, dass sie bei einer Wegweisung nach Kroatien in eine existenzielle Notlage geraten könnten.</w:t>
      </w:r>
    </w:p>
    <w:p>
      <w:r>
        <w:rPr>
          <w:b/>
        </w:rPr>
        <w:t>E. 6.6</w:t>
      </w:r>
    </w:p>
    <w:p>
      <w:r>
        <w:t>Unter den genannten Umständen ist die Anwendung von Art. 3 Abs. 2 Dublin-III-VO nicht gerechtfertigt.</w:t>
      </w:r>
    </w:p>
    <w:p>
      <w:r>
        <w:rPr>
          <w:b/>
        </w:rPr>
        <w:t>E. 7.1</w:t>
      </w:r>
    </w:p>
    <w:p>
      <w:r>
        <w:t>Die Vermutung, wonach Kroatien als Mitglied des Gemeinsamen Europäischen Asylsystems und Vertragsstaat der vorstehend erwähnten völkerrechtlichen Abkommen die Menschenrechte beachtet,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In diesem Zusammenhang ist zu prüfen, ob allenfalls das Selbsteintrittsrecht nach Art. 17 Abs. 1 erster Satz Dublin-III-VO auszuüben ist.</w:t>
      </w:r>
    </w:p>
    <w:p>
      <w:r>
        <w:rPr>
          <w:b/>
        </w:rPr>
        <w:t>E. 7.2</w:t>
      </w:r>
    </w:p>
    <w:p>
      <w:r>
        <w:t>Bezüglich der geltend gemachten Bedrohungen durch den Ehemann ist festzustellen, dass Kroatien ein Rechtsstaat mit einem funktionierenden Justizsystem ist. Gemäss eigenen Angaben wurde die Beschwerdeführerin mit ihren Kindern getrennt vom Ehemann respektive Vater untergebracht (vgl. SEM-Akten 1099045-19/3 S. 2). Ferner stellten die kroatischen Behörden im Gerichtsdokument vom 25. Mai 2021 Misshandlungen der Beschwerdeführerin und ihrer Kinder durch den Ehemann respektive Vater fest, was zeigt, dass ihnen Schutz im massgeblichen Sinne gewährt wurde. Es ist nicht ersichtlich, weshalb sich die Beschwerdeführerin im Falle einer allfälligen Bedrohung nicht erneut an die kroatischen Behörden wenden könnte. In diesem Zusammenhang ist insbesondere darauf hinzuweisen, dass kein Staat die absolute Sicherheit seiner Bürgerinnen und Bürger jederzeit und überall garantieren kann (vgl. BVGE 2008/5 E. 4.2). Es lässt sich im Übrigen dem auf Beschwerdeebene eingereichten Bericht des (...) vom 1. Juli 2021 entnehmen, dass sich der Ehemann der Beschwerdeführerin im E._______ aufhalte.</w:t>
      </w:r>
    </w:p>
    <w:p>
      <w:r>
        <w:rPr>
          <w:b/>
        </w:rPr>
        <w:t>E. 7.3</w:t>
      </w:r>
    </w:p>
    <w:p>
      <w:r>
        <w:t>Soweit die Beschwerdeführerin unter Berufung auf das Kindeswohl vorbringt, im Falle einer Überstellung bestehe die Gefahr einer erneuten Misshandlung der Kinder durch deren Vater, kann auf die vorangegangene Erwägung verwiesen werden. Ferner hat die Beschwerdeführerin nicht dargetan, inwiefern die Unterbringung und die Betreuung nicht dem Kindeswohl entsprechen würden. Aufgrund des noch sehr jungen Alters der Kinder ist sodann darauf hinzuweisen, dass deren Bezugsperson in erster Linie die Mutter ist und den Akten keine Hinweise zu entnehmen sind, dass die Beschwerdeführenden bei einer Überstellung getrennt würden.</w:t>
      </w:r>
    </w:p>
    <w:p>
      <w:r>
        <w:rPr>
          <w:b/>
        </w:rPr>
        <w:t>E. 7.4</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7.5.1</w:t>
      </w:r>
    </w:p>
    <w:p>
      <w:r>
        <w:t>Gemäss dem medizinischen Datenblatt der (...) vom 1. Juli 2021 leidet die Beschwerdeführerin an (...) und hat gelegentlich (...). Es wurden ihr die Medikamente (...) verschrieben. Dem Bericht des (...) vom 1. Juli 2021 lässt sich entnehmen, dass die Beschwerdeführerin am 30. Juni 2021 notfallmässig aufgrund einer (...) und (...) behandelt wurde. Auslöser der (...) sei ein Anruf ihres Freundes gewesen, der sich im E._______ aufhalte und ihr mit dem Tod gedroht habe. Sie habe beruhigt werden können und sei in gutem Allgemeinzustand entlassen worden. Aus den Akten geht zudem hervor, dass die Tochter wegen (...) in ärztlicher Behandlung war.</w:t>
      </w:r>
    </w:p>
    <w:p>
      <w:r>
        <w:rPr>
          <w:b/>
        </w:rPr>
        <w:t>E. 7.5.2</w:t>
      </w:r>
    </w:p>
    <w:p>
      <w:r>
        <w:t>Die medizinischen Leiden der Beschwerdeführerin und ihrer Tochter erweisen sich als nicht derart gravierend, dass sie im Falle einer Überstellung nach Kroatien mit dem Risiko einer ernsten, raschen und unwiederbringlichen Verschlechterung ihres Gesundheitszustandes konfrontiert wären. Ferner hielt die Vorinstanz zutreffend fest,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vermögen auch die auf Beschwerdeebene zitierten Berichte zu keiner anderen Einschätzung der Situation der Beschwerdeführerin und ihrer Kinder in Kroatien führen. Es liegen damit keine Hinweise vor, wonach Kroatien seinen Verpflichtungen im Rahmen der Dublin-III-VO in medizinischer Hinsicht nicht nachkommen würde, zumal die Beschwerdeführerin gemäss dem Arztbericht vom 24. Februar 2021 in Kroatien bereits medizinisch behandelt wurde und Medikamente erhielt. Der aktuelle Gesundheitszustand der Beschwerdeführenden führt somit für den Fall einer Überstellung nach Kroatien nicht zur Annahme einer drohenden Verletzung von Art. 3 EMRK.</w:t>
      </w:r>
    </w:p>
    <w:p>
      <w:r>
        <w:rPr>
          <w:b/>
        </w:rPr>
        <w:t>E. 7.6</w:t>
      </w:r>
    </w:p>
    <w:p>
      <w:r>
        <w:t>Die Beschwerdeführerin konnte demnach kein konkretes und ernsthaftes Risiko dartun, wonach ihre Wegweisung nach Kroatien zusammen mit ihren Kindern die Verletzung völkerrechtlicher Bestimmungen zur Folge hätte.</w:t>
      </w:r>
    </w:p>
    <w:p>
      <w:r>
        <w:rPr>
          <w:b/>
        </w:rPr>
        <w:t>E. 8.1</w:t>
      </w:r>
    </w:p>
    <w:p>
      <w:r>
        <w:t>Schliesslich verlangen die Beschwerdeführenden die Anwendung der Souveränitätsklausel.</w:t>
      </w:r>
    </w:p>
    <w:p>
      <w:r>
        <w:rPr>
          <w:b/>
        </w:rPr>
        <w:t>E. 8.2</w:t>
      </w:r>
    </w:p>
    <w:p>
      <w:r>
        <w:t>Gemäss Praxis des Bundesverwaltungsgerichts verfügt die Vorinstanz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das Gericht beschränkt seine Beurteilung im Wesentlichen darauf, ob die Vorinstanz den Sachverhalt diesbezüglich korrekt und vollständig erhoben, allen wesentlichen Umständen Rechnung getragen und ihren Ermessensspielraum genutzt hat (vgl. Art. 106 Abs. 1 Bst. a und b AsylG).</w:t>
      </w:r>
    </w:p>
    <w:p>
      <w:r>
        <w:rPr>
          <w:b/>
        </w:rPr>
        <w:t>E. 8.3</w:t>
      </w:r>
    </w:p>
    <w:p>
      <w:r>
        <w:t>Inwiefern die Vorinstanz die spezifischen Umstände des Einzelfalls nicht genügend berücksichtigt haben soll - so dass ein Ermessensmissbrauch anzunehmen wäre - wird nicht substantiiert geltend gemacht und ist auch nicht erkennbar. Es ist nicht ersichtlich, dass der Sachverhalt von der Vorinstanz unvollständig oder unrichtig festgestellt worden wäre. Für eine Rückweisung der Sache an die Vorinstanz besteht demnach kein Anlass.</w:t>
      </w:r>
    </w:p>
    <w:p>
      <w:r>
        <w:rPr>
          <w:b/>
        </w:rPr>
        <w:t>E. 8.4</w:t>
      </w:r>
    </w:p>
    <w:p>
      <w:r>
        <w:t>Gestützt auf die vorangegangenen Erwägungen ist die Vorinstanz zu Recht auf das Asylgesuch der Beschwerdeführerin und ihrer Kinder nicht eingetreten und hat die Überstellung nach Kroatien angeordnet. Kroatien ist als zuständiger Mitgliedstaat gemäss Art. 18 Abs. 1 Bst. b bzw. c i.V.m. Art. 25 Abs. 2 Dublin-III-VO verpflichtet, die Beschwerdeführerin und ihre Kinder wiederaufzunehmen.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Da ihre Begehren nicht zum Vornherein als aussichtlos betrachtet werden konnten und von der Mittelosigkeit der Beschwerdeführerin auszugehen ist, ist das Gesuch um Gewährung der unentgeltlichen Prozessführung gemäss Art. 65 Abs. 1 VwVG gutzuheissen. Es sind keine Verfahrenskosten zu erheben.</w:t>
      </w:r>
    </w:p>
    <w:p>
      <w:r>
        <w:rPr>
          <w:b/>
        </w:rPr>
        <w:t>E. 11</w:t>
      </w:r>
    </w:p>
    <w:p>
      <w:r>
        <w:t>Mit dem vorliegenden Urteil fällt der am 19. Juli 2021 angeordnete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