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E-3280/2021 vom 21. Juli 2021</w:t>
      </w:r>
    </w:p>
    <w:p>
      <w:r>
        <w:t>Bundesverwaltungsgericht, 2021-07-21, DE</w:t>
      </w:r>
    </w:p>
    <w:p>
      <w:r>
        <w:rPr>
          <w:b/>
        </w:rPr>
        <w:t xml:space="preserve">Quelle: </w:t>
      </w:r>
      <w:r>
        <w:t>https://mcp.opencaselaw.ch/entscheid/bvger_E-3280_2021</w:t>
      </w:r>
    </w:p>
    <w:p>
      <w:r>
        <w:t>FR: TAF E-3280/2021 du 21 juillet 2021</w:t>
      </w:r>
    </w:p>
    <w:p>
      <w:r>
        <w:t>IT: TAF E-3280/2021 del 21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2.4</w:t>
      </w:r>
    </w:p>
    <w:p>
      <w:r>
        <w:t>Gestützt auf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die antragstellende Person, die während der Prüfung ihres Antrags in einem anderen Mitgliedstaat einen Antrag gestellt hat oder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Auf Beschwerdeebene wird im Wesentlichen geltend gemacht, es bestünden in Bezug auf C._______ durchaus ernstzunehmende Hinwiese auf nicht unerhebliche Mängel der Gesundheitsversorgung psychisch kranker Asylsuchender. Es bestehe die Gefahr, dass der Zugang zu entsprechenden Behandlungen für traumatisierte Personen eingeschränkt sein könnte. C._______ weise zudem systemische Mängel in Bezug auf das Asylverfahren auf. Länderberichten zufolge würden Asylbewerber in der Praxis bei der Ankunft in einem Empfangsbereich des Asylheims festgehalten, was einer Inhaftierung nahekomme. Im Jahr 2019 seien die hygienischen Bedingungen im Vorempfangsbereich des Asylheims, das überfüllt gewesen sei, schlecht gewesen. Ärztliche Untersuchungen hätten tagelang nicht durchgeführt werden können, was ein Gesundheitsrisiko sowohl für die Asylbewerber als auch für die Mitarbeiter des Asylbewerberheims dargestellt habe. Die Situation habe sich angesichts der COVID-Pandemie noch verschlechtert. Ausserdem würden persönliche Gründe gegen seine Überstellung nach C._______ sprechen. Der Beschwerdeführer habe in C._______ nie ein Asylgesuch einreichen wollen. Er sei dort von der Polizei geschlagen worden und ihm sei nicht geholfen worden. Er habe über die gesamte Dauer seines Aufenthaltes in C._______ nach Möglichkeiten gesucht, in die Schweiz zu kommen und werde dies weiterhin tun. (...), sein einziges lebendes Familienmitglied, sei hier in der Schweiz. Er habe viel durchgemacht und möchte ein ruhiges Leben in der Nähe (...) führen können.</w:t>
      </w:r>
    </w:p>
    <w:p>
      <w:r>
        <w:rPr>
          <w:b/>
        </w:rPr>
        <w:t>E. 5.1</w:t>
      </w:r>
    </w:p>
    <w:p>
      <w:r>
        <w:t>Ein Abgleich mit der europäischen Fingerabdruck-Datenbank (Zentraleinheit Eurodac) ergab, dass der Beschwerdeführer am 25. Mai 2021 in C._______ um Asyl nachgesucht hatte. Gestützt darauf und die Angaben des Beschwerdeführers ersuchte das SEM die (...) Behörden am 28. Juni 2021 um deren Wiederaufnahme. Die (...) Behörden hiessen dieses Ersuchen am 7. Juli 2021 gut. Vor diesem Hintergrund ist die grundsätzliche Zuständigkeit C._______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5.2</w:t>
      </w:r>
    </w:p>
    <w:p>
      <w:r>
        <w:t>Im Lichte von Art. 3 Abs. 2 Dublin-III-VO ist sodann zu prüfen, ob es wesentliche Gründe für die Annahme gibt, das Asylverfahren und die Aufnahmebedingungen für Asylsuchende in C._______ würden systemische Schwachstellen aufweisen, die eine Gefahr einer unmenschlichen oder entwürdigenden Behandlung im Sinne des Artikels 4 der EU-Grundrechtecharta mit sich bringen würden.</w:t>
      </w:r>
    </w:p>
    <w:p>
      <w:r>
        <w:rPr>
          <w:b/>
        </w:rPr>
        <w:t>E. 5.2.1</w:t>
      </w:r>
    </w:p>
    <w:p>
      <w:r>
        <w:t>C._______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Gemäss Praxis des Bundesverwaltungsgerichts liegen aktuell, auch unter Würdigung der in der Beschwerde erwähnten kritischen Berichterstattung zu C._______, keine Gründe für die Annahme vor, das Asylverfahren und die Aufnahmebedingungen für Antragstellende in C._______ würden systemische Schwachstellen im Sinne von Art. 3 Abs. 2 Sätze 2 und 3 Dublin-III-VO aufweisen (vgl. u.a. die Urteile des BVGer D-715/2021 vom 19. Februar 2021, F-4659/2020 vom 24. September 2020 E. 4.1 und F-3660/2020 vom 22. Juli 2020 E. 4.1).</w:t>
      </w:r>
    </w:p>
    <w:p>
      <w:r>
        <w:rPr>
          <w:b/>
        </w:rPr>
        <w:t>E. 5.2.3</w:t>
      </w:r>
    </w:p>
    <w:p>
      <w:r>
        <w:t>Nach dem Gesagten ist die Anwendung von Art. 3 Abs. 2 Dublin-III-VO nicht gerechtfertigt.</w:t>
      </w:r>
    </w:p>
    <w:p>
      <w:r>
        <w:rPr>
          <w:b/>
        </w:rPr>
        <w:t>E. 6.1</w:t>
      </w:r>
    </w:p>
    <w:p>
      <w:r>
        <w:t>Zwar kann die Vermutung, C._______ halte seine völkerrechtlichen Verpflichtungen ein, im Einzelfall widerlegt werden (vgl. BVGE 2010/45 E. 7.4 f.; Urteil des BVGer D-5698/2017 vom 6. März 2018 E. 5.3.1). Dies gelingt dem Beschwerdeführer allerdings, wie das SEM zutreffend erwogen hat, nicht.</w:t>
      </w:r>
    </w:p>
    <w:p>
      <w:r>
        <w:rPr>
          <w:b/>
        </w:rPr>
        <w:t>E. 6.2</w:t>
      </w:r>
    </w:p>
    <w:p>
      <w:r>
        <w:t>Es ist nicht davon auszugehen, dass der Beschwerdeführer nach der Überstellung keinen Zugang zum Asylverfahren in C._______ hätte. Anlässlich des Dublin-Gespräches hat er keine Einwände gegen das Asylverfahren in C._______ erhoben. Zudem hat er C._______ einen Tag nach seiner Registrierung verlassen und somit den Ausgang des Asylverfahrens nicht abgewartet. Es liegen keine Hinweise vor, dass C._______ in seinem Fall das Non-Refoulement-Gebot nicht einhalten sollte. Es ist auch nicht davon auszugehen, dass der Beschwerdeführer bei einer Überstellung einer Behandlung ausgesetzt wäre, die nicht mit Art. 3 EMRK vereinbar ist. Zwar ist nicht auszuschliessen, dass er in C._______ die auf Beschwerdeebene geltend gemachten Übergriffe durch die Polizei tatsächlich erlebt hat. Dass er im Rahmen der Dublin-Überstellung erneut solchen ausgesetzt wäre, ist indessen nicht wahrscheinlich. Es ist zudem davon auszugehen, dass er sich an die zuständigen Stellen wenden könnte, sollte er künftig tatsächlich wieder mit ähnlichen Vorkommnissen konfrontiert sein, zumal C._______ ein Rechtsstaat mit einem funktionierenden Justizsystem ist. Schliesslich liegen auch keine Hinweise vor, wonach C._______ seinen Verpflichtungen im Rahmen der Dublin-III-VO in medizinischer Hinsicht nicht nachkommen würde. Die Vorinstanz führt zutreffend aus, dass C._______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w:t>
      </w:r>
    </w:p>
    <w:p>
      <w:r>
        <w:rPr>
          <w:b/>
        </w:rPr>
        <w:t>E. 6.3</w:t>
      </w:r>
    </w:p>
    <w:p>
      <w:r>
        <w:t>Hinsichtlich der geltend gemachten gesundheitlichen Überstellungshindernisse ist im Einzelnen Folgendes festzuhalten:</w:t>
      </w:r>
    </w:p>
    <w:p>
      <w:r>
        <w:rPr>
          <w:b/>
        </w:rPr>
        <w:t>E. 6.3.1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6.3.2</w:t>
      </w:r>
    </w:p>
    <w:p>
      <w:r>
        <w:t>Anlässlich des Dublin-Gesprächs vom 28. Juni 2021 führte der Beschwerdeführer aus, es gehe im körperlich gut. Er habe auf der Reise in die Schweiz jedoch viel erlitten, weshalb es ihm psychisch nicht gut gehe. (...).</w:t>
      </w:r>
    </w:p>
    <w:p>
      <w:r>
        <w:rPr>
          <w:b/>
        </w:rPr>
        <w:t>E. 6.3.3</w:t>
      </w:r>
    </w:p>
    <w:p>
      <w:r>
        <w:t>Gemäss Bericht des Medizinisch-Sozialen Ambulatoriums der Stadt Zürich vom 7. Juli 2021 habe der Beschwerdeführer seit Tagen (...). Er leide ausserdem seit seiner Kindheit an (...). Gegen (...) eingenommen, sie plagten ihn aber sehr. Der behandelnde Arzt diagnostizierte (...). Er verschrieb dem Beschwerdeführer (...) und legte einen Folgetermin für den 21. Juli 2021 fest, um die Laborwerte und Verlaufskontrolle zu besprechen. Am 8. Juli 2021 werde (...) geröntgt und er sei zur (...) angemeldet. Ausserdem sei ein Termin beim (...) zu vereinbaren.</w:t>
      </w:r>
    </w:p>
    <w:p>
      <w:r>
        <w:rPr>
          <w:b/>
        </w:rPr>
        <w:t>E. 6.3.4</w:t>
      </w:r>
    </w:p>
    <w:p>
      <w:r>
        <w:t>Ohne die gesundheitlichen Beeinträchtigungen des Beschwerdeführers verharmlosen zu wollen, handelt es sich bei ihm nach dem Gesagten nicht um eine schwer kranke Person im Sinne der oben beschriebenen Rechtsprechung des EGMR (vgl. E. 6.3.1). Das SEM hat den medizinischen Sachverhalt zu Recht als ausreichend erstellt erachtet. Es führt in antizipierender Beweiswürdigung zutreffend aus, es sei nicht davon auszugehen, dass anlässlich der bevorstehenden Verlaufskontrolle und Besprechung der Laborwerte vom 21. Juli 2021 sowie der am 8. Juli 2021 durchgeführten Röntgenaufnahmen derart schwerwiegende Diagnosen gestellt würden, welche die Einschätzung des SEM hinsichtlich der Zulässigkeit der Wegweisung nach C._______ oder der Anwendung der Souveränitätsklausel in Frage stellen würden. Ergänzend kann diesbezüglich festgestellt werden, dass der Termin vom 21. Juli 2021 lediglich zur Besprechung der Laborwerte und der Verlaufskontrolle festgesetzt wurde, was ebenfalls nicht auf eine schwere Erkrankung hindeutet. Das SEM hält im Übrigen zu Recht fest, dass die gesundheitlichen Beschwerden des Beschwerdeführers auch in C._______ weiter abgeklärt werden könnten, sollte dies erforderlich sein. Ausserdem werde die Reisefähigkeit kurz vor der Überstellung definitiv beurteilt. Die Vollzugsbehörden werden die (...) Behörden im Sinne von Art. 31 und 32 Dublin-III-VO - sofern notwendig - vor der Überstellung über den Gesundheitszustand und die notwendige Behandlung informieren, wodurch gegebenenfalls die angemessene Weiterbehandlung des Beschwerdeführers gewährleistet werden kann. Der aktuelle Gesundheitszustand des Beschwerdeführers führt somit für den Fall einer Überstellung nach C._______ im Rahmen des Dublin-Verfahrens nicht zur Annahme einer drohenden Verletzung von Art. 3 EMRK.</w:t>
      </w:r>
    </w:p>
    <w:p>
      <w:r>
        <w:rPr>
          <w:b/>
        </w:rPr>
        <w:t>E. 6.4</w:t>
      </w:r>
    </w:p>
    <w:p>
      <w:r>
        <w:t>Nach dem Gesagten konnte der Beschwerdeführer kein konkretes und ernsthaftes Risiko dartun, wonach seine Wegweisung nach C._______ die Verletzung völkerrechtlicher Bestimmungen zur Folge hätte.</w:t>
      </w:r>
    </w:p>
    <w:p>
      <w:r>
        <w:rPr>
          <w:b/>
        </w:rPr>
        <w:t>E. 7.1</w:t>
      </w:r>
    </w:p>
    <w:p>
      <w:r>
        <w:t>Schliesslich verlangt der Beschwerdeführer die Anwendung der Souveränitätsklausel.</w:t>
      </w:r>
    </w:p>
    <w:p>
      <w:r>
        <w:rPr>
          <w:b/>
        </w:rPr>
        <w:t>E. 7.2</w:t>
      </w:r>
    </w:p>
    <w:p>
      <w:r>
        <w:t>Das SEM führte in der angefochtenen Verfügung aus, in Würdigung der Akten und der vom Beschwerdeführer geäusserten Umstände bestünden keine Gründe, die die Schweiz veranlassen würden, die Souveränitätsklausel anzuwenden.</w:t>
      </w:r>
    </w:p>
    <w:p>
      <w:r>
        <w:rPr>
          <w:b/>
        </w:rPr>
        <w:t>E. 7.3</w:t>
      </w:r>
    </w:p>
    <w:p>
      <w:r>
        <w:t>Inwiefern das SEM die spezifischen Umstände des Einzelfalls nicht genügend berücksichtigt haben soll - so dass ein Ermessensmissbrauch anzunehmen wäre - wird nicht ansatzweise geltend gemacht und ist auch nicht erkennbar. Der Beschwerdeführer möchte wegen (...) in der Schweiz bleiben. Mit seiner Begründung kann er insgesamt nicht das gewünschte Verfahrensziel - die Behandlung seines Asylgesuchs in der Schweiz - erreichen, zumal die Dublin-III-VO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8</w:t>
      </w:r>
    </w:p>
    <w:p>
      <w:r>
        <w:t>Die Vorinstanz ist nach dem Gesagten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dies bereits Voraussetzung für die Anwendbarkeit des vorliegenden Nichteintretenstatbestandes ist.</w:t>
      </w:r>
    </w:p>
    <w:p>
      <w:r>
        <w:rPr>
          <w:b/>
        </w:rPr>
        <w:t>E. 9</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10.1</w:t>
      </w:r>
    </w:p>
    <w:p>
      <w:r>
        <w:t>Mit dem vorliegenden Urteil in der Hauptsache sind die Gesuche um Erteilung der aufschiebenden Wirkung und um Verzicht auf die Erhebung eines Kostenvorschusses gegenstandslos geworden.</w:t>
      </w:r>
    </w:p>
    <w:p>
      <w:r>
        <w:rPr>
          <w:b/>
        </w:rPr>
        <w:t>E. 10.2</w:t>
      </w:r>
    </w:p>
    <w:p>
      <w:r>
        <w:t>Der am 19. Juli 2021 angeordnete Vollzugsstopp fällt mit vorliegendem Urteil dahin und die Vorinstanz hat dem Beschwerdeführer eine neue Frist zur Ausreise anzusetzen.</w:t>
      </w:r>
    </w:p>
    <w:p>
      <w:r>
        <w:rPr>
          <w:b/>
        </w:rPr>
        <w:t>E. 11.1</w:t>
      </w:r>
    </w:p>
    <w:p>
      <w:r>
        <w:t>Die Begehren waren - wie sich aus den vorstehenden Erwägungen ergibt - als aussichtslos zu bezeichnen, weshalb das Gesuch um Gewährung der unentgeltlichen Rechtspflege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