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E-3279/2011 vom 22. Juni 2011</w:t>
      </w:r>
    </w:p>
    <w:p>
      <w:r>
        <w:t>Bundesverwaltungsgericht, 2011-06-22, DE</w:t>
      </w:r>
    </w:p>
    <w:p>
      <w:r>
        <w:rPr>
          <w:b/>
        </w:rPr>
        <w:t xml:space="preserve">Quelle: </w:t>
      </w:r>
      <w:r>
        <w:t>https://mcp.opencaselaw.ch/entscheid/bvger_E-3279_2011</w:t>
      </w:r>
    </w:p>
    <w:p>
      <w:r>
        <w:t>FR: TAF E-3279/2011 du 22 juin 2011</w:t>
      </w:r>
    </w:p>
    <w:p>
      <w:r>
        <w:t>IT: TAF E-3279/2011 del 22 giugno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Einholung einer Vernehmlassung verzichtet.</w:t>
      </w:r>
    </w:p>
    <w:p>
      <w:r>
        <w:rPr>
          <w:b/>
        </w:rPr>
        <w:t>E. 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Entscheidungen und Mitteilungen der Schweizerischen Asylrekurskommission [EMARK] 2004 Nr. 34 E. 2.1 S. 240 f.) Die Beschwerdeinstanz enthält sich einer selbständigen materiellen Prüfung und weist die Sache - sofern sie den Nichteintretensentscheid als unrechtmässig erachtet - zu neuer Entscheidung an die Vorinstanz zurück.</w:t>
      </w:r>
    </w:p>
    <w:p>
      <w:r>
        <w:rPr>
          <w:b/>
        </w:rPr>
        <w:t>E. 5.1</w:t>
      </w:r>
    </w:p>
    <w:p>
      <w:r>
        <w:t>Gemäss Art. 34 Abs. 2 Bst. d AsylG wird auf Asylgesuche in der Re­gel nicht eingetreten, wenn Asylsuchende in einen Drittstaat ausreisen können, welcher für die Durchführung des Asyl- und Wegweisungsverfah­rens staatsvertraglich zuständig ist. Die Prüfung der staatsvertraglichen Zuständigkeit zur materiellen Behandlung eines Asylgesuches richtet sich dabei nach den Kriterien der Dublin-II-VO (vgl.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i.V.m. Art. 29a Abs. 1 der Asylverord­nung 1 vom 11. August 1999 über Verfahrensfragen [AsylV 1, SR 142.311]). Im Weiteren setzt Art. 34 Abs. 2 Bst. d AsylG voraus, dass der staatsvertraglich zuständige Staat einer Übernahme der asylsuchenden Person zugestimmt hat (vgl. Art. 29a Abs. 2 AsylV 1).</w:t>
      </w:r>
    </w:p>
    <w:p>
      <w:r>
        <w:rPr>
          <w:b/>
        </w:rPr>
        <w:t>E. 5.2</w:t>
      </w:r>
    </w:p>
    <w:p>
      <w:r>
        <w:t>Das BFM ersuchte die italienischen Behörden am 13. und 20. April 2011 um Übernahme ("take charge") des Beschwerdeführers. Diese stimmten am 13. Mai 2011 einer Übernahme zu. Die Vorinstanz ging aufgrund dieser Sachlage zu Recht von der Zuständigkeit Italiens aus.</w:t>
      </w:r>
    </w:p>
    <w:p>
      <w:r>
        <w:rPr>
          <w:b/>
        </w:rPr>
        <w:t>E. 6.1</w:t>
      </w:r>
    </w:p>
    <w:p>
      <w:r>
        <w:t>Der Beschwerdeführer rügt in seiner Beschwerde, eine Rückschaffung nach Italien berge für ihn die Gefahr, kein faires Asylverfahren durchlaufen zu können und möglicherweise einer Kettenabschiebung, ohne gründliche Prüfung des Asylgesuchs, ausgesetzt zu werden. Da eine Überstellung daher unzulässig sei, solle die Schweiz von ihrem Selbsteintrittsrecht nach Art. 3 Abs. 2 Dublin-II-VO Gebrauch machen. Der Beschwerdeführer rügt damit sinngemäss die Verletzung von völkerrechtlichen Normen.</w:t>
      </w:r>
    </w:p>
    <w:p>
      <w:r>
        <w:rPr>
          <w:b/>
        </w:rPr>
        <w:t>E. 6.2</w:t>
      </w:r>
    </w:p>
    <w:p>
      <w:r>
        <w:t>Nach der in Art. 3 Abs. 2 Dublin-II-VO verankerten Souveränitätsklausel kann jeder Mitgliedstaat einen von einem Drittstaatsangehörigen eingereichten Asylantrag prüfen, auch wenn er nach den in der Verordnung festgelegten Kriterien nicht für die Prüfung zuständig ist. Der betreffende Mitgliedstaat wird dadurch zum zuständigen Mitgliedstaat im Sinne der Verordnung und übernimmt die mit dieser Zuständigkeit einhergehenden Verpflichtungen. Eine selbstständige Rüge der Verletzung von Art. 3 Abs. 2 Dublin-II-VO ist nur möglich, wenn mit der Forderung nach einem Selbsteintritt gleichzeitig geltend gemacht wird, mit der Durchsetzung nach der nach der Dublin-II-VO feststehenden Zuständigkeit würde eine Norm des Völkerrechts - wie beispielsweise Art. 3 EMRK - oder aber eine Norm des innerstaatlichen Rechts verletzt (vgl. BVGE 2010/45 E. 5).</w:t>
      </w:r>
    </w:p>
    <w:p>
      <w:r>
        <w:rPr>
          <w:b/>
        </w:rPr>
        <w:t>E. 6.3</w:t>
      </w:r>
    </w:p>
    <w:p>
      <w:r>
        <w:t>Italien ist - wie die Schweiz - unter anderem Signatarstaat der FK, der Konvention vom 4. November 1950 zum Schutze der Menschenrechte und Grundfreiheiten (EMRK, SR 0.101) und des Übereinkommens vom 10. Dezember 1984 gegen Folter und andere grausame, unmenschliche oder erniedrigende Behandlung oder Strafe (FoK, SR 0.105). Als nach Art. 3 Abs. 1 Dublin-II-VO zuständiger Staat ist Italien zudem an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gebunden.</w:t>
      </w:r>
    </w:p>
    <w:p>
      <w:r>
        <w:rPr>
          <w:b/>
        </w:rPr>
        <w:t>E. 6.4</w:t>
      </w:r>
    </w:p>
    <w:p>
      <w:r>
        <w:t>Gemäss Art. 3 FoK und der Praxis zu Art. 3 EMRK darf niemand der Folter oder unmenschlicher oder erniedrigender Strafe oder Behandlung unterworfen werden. Es darf davon ausgegangen werden, dass Italien als si­cher im Sinne der FK erachtet werden kann und das Gebot des Non-Refoulement (vgl. Art. 33 FK) sowie Art. 3 EMRK beachtet. Die Gefahr einer Kettenabschiebung kann somit in aller Regel als ausgeschlossen gelten. Der Beschwerdeführer macht denn auch keine entsprechenden konkreten Vorbringen geltend, die diesen Überlegungen entgegenstehen würden. Mithin vermag der Beschwerdeführer nicht darzutun, es bestünde ein konkreter Grund zur Annahme, dass er von Italien ohne kor­rekte Prüfung seiner Gesuchs­gründe in die Heimat zurückge­führt würde und ihm somit in Italien eine das Refoulement-verbot verletzende Rückschiebung ins Heimatland drohen würde. Ebenso wenig ist den Ausführungen des Beschwerdeführers ein konkreter Hinweis auf eine systematische Verletzung der völkerrechtlichen Verpflichtungen durch Italien zu entnehmen.</w:t>
      </w:r>
    </w:p>
    <w:p>
      <w:r>
        <w:rPr>
          <w:b/>
        </w:rPr>
        <w:t>E. 6.5</w:t>
      </w:r>
    </w:p>
    <w:p>
      <w:r>
        <w:t>Daher ist von der Vermutung aus­zugehen ist, Italien halte seine völkerrechtlichen Pflichten gemäss der FK und der EMRK ein (vgl. BVGE 2010/45 E. 7.3. - 7.7.).</w:t>
      </w:r>
    </w:p>
    <w:p>
      <w:r>
        <w:rPr>
          <w:b/>
        </w:rPr>
        <w:t>E. 7.1</w:t>
      </w:r>
    </w:p>
    <w:p>
      <w:r>
        <w:t>Weiter rügt der Beschwerdeführer auf Beschwerdeebene, aufgrund der massiven Überforderung des italienischen Asylsystems sei er bei einer Rückkehr dem Risiko ausgesetzt, ohne Obdach und Arbeit zu leben, was ihm ein menschenwürdiges Dasein verunmögliche.</w:t>
      </w:r>
    </w:p>
    <w:p>
      <w:r>
        <w:rPr>
          <w:b/>
        </w:rPr>
        <w:t>E. 7.2</w:t>
      </w:r>
    </w:p>
    <w:p>
      <w:r>
        <w:t>Sind schwerwiegende humanitäre Gründe im Sinne von Art. 29a Abs. 3 der Asylverordnung 1 über Verfahrensfragen vom 11. August 1999 (AsylV 1; SR 142.311) zu erkennen, die einer Über­stellung des Beschwerdeführers nach Italien entgegenstehen, kann ein Selbsteintritt gemäss Art. 3 Abs. 2 Dublin-II-VO als angezeigt erscheinen (vgl. BVGE 2010/45 E. 8.2).</w:t>
      </w:r>
    </w:p>
    <w:p>
      <w:r>
        <w:rPr>
          <w:b/>
        </w:rPr>
        <w:t>E. 7.3</w:t>
      </w:r>
    </w:p>
    <w:p>
      <w:r>
        <w:t>Dem Bundesverwaltungsgericht ist bekannt, dass das italienische Asylverfahren gewisse Schwachstellen aufweist und dass Asylsuchende in Italien bei der Unterkunft, der Arbeit und dem Zugang zu medizinischer Infrastruktur durchaus gewissen Schwierigkeiten ausgesetzt sein können. Das Gericht geht davon aus, Dublin-Rückkehrende würden betreffend Unterbringung von den italienischen Behörden eher bevorzugt behandelt, und es würden sich zudem neben den staatlichen Strukturen auch zahlreiche private Hilfsorganisationen der Betreuung von Asylsuchenden und Flüchtlingen annehmen. Weiter ist auf die Tatsache hinzuweisen, dass gemäss der Aufnahmerichtlinie Italien gehalten ist, den Asylsuchenden materielle Aufnahmebedingungen zu gewähren, die die Sicherung des Lebensunterhalts und der Gesundheit gewährleisten (vgl. etwa Entscheid D-7654/2010 vom 20. April 2011, E-1661/2010 vom 17. März 2011). Der Beschwerdeführer zeigt insgesamt keine stichhaltigen Einwendungen gegen seine Wegweisung nach Italien auf.</w:t>
      </w:r>
    </w:p>
    <w:p>
      <w:r>
        <w:rPr>
          <w:b/>
        </w:rPr>
        <w:t>E. 7.4</w:t>
      </w:r>
    </w:p>
    <w:p>
      <w:r>
        <w:t>Weiter ist aktenkundig, dass der Beschwerdeführer sich am (...) 2011 selbst (...) Schnittverletzungen zugefügt hat und deswegen verarztet werden musste. Er verweigerte in der Folge jedoch strikte den Beizug eines Arztes. Aus den Akten ist auch nicht ersichtlich, dass später eine ärztliche Behandlung hätte erfolgen müssen. Dieser Vorfall vermag daher keine Überlegungen für einen Selbsteintritt aus schwerwiegenden humanitären Gründen auszulösen. Aufgrund des sich dennoch gezeigten labilen Zustandes ist bei einer Überstellung des Beschwerdeführers von der Schweiz nach Italien dem Risiko einer allfälligen Selbstverletzung mit einer gut organisierten Reise entgegenzuwirken. Insbesondere ist sicherzustellen, dass der Beschwerdeführer eine adäquate fachliche Begleitung für die Reise wie auch für die Übergabe an die italienischen Behörden erhält und dass die italienischen Behörden über seine Ankunft und seine psychische Problematik und diesbezüglichen Schutzbedürfnisse informiert sind und der Beschwerdeführer auch tatsächlich den Behörden übergeben wird, welche die Verantwortung für ihn übernehmen können. Es obliegt dem BFM, diesen Aspekten bei der Organisation der konkreten Überstellungsmodalitäten Rechnung zu tragen.</w:t>
      </w:r>
    </w:p>
    <w:p>
      <w:r>
        <w:rPr>
          <w:b/>
        </w:rPr>
        <w:t>E. 7.5</w:t>
      </w:r>
    </w:p>
    <w:p>
      <w:r>
        <w:t>Nach dem Gesagten sind keine schwerwiegende humanitäre Gründe im Sinne von Art. 29a Abs. 3 AsylV 1 zu erkennen, die einen Selbsteintritt gemäss Art. 3 Abs. 2 Dublin-II-VO als angezeigt erscheinen liessen.</w:t>
      </w:r>
    </w:p>
    <w:p>
      <w:r>
        <w:rPr>
          <w:b/>
        </w:rPr>
        <w:t>E. 7.6</w:t>
      </w:r>
    </w:p>
    <w:p>
      <w:r>
        <w:t>Da es im vorliegenden Fall lediglich darum geht, die Voraussetzungen einer Rückführung nach Italien im Rahmen der Dublin-II-VO zu prüfen, ist auf die Vorbringen des Beschwerdeführers in Bezug auf die Situation in Tunesien nicht einzugehen.</w:t>
      </w:r>
    </w:p>
    <w:p>
      <w:r>
        <w:rPr>
          <w:b/>
        </w:rPr>
        <w:t>E. 8</w:t>
      </w:r>
    </w:p>
    <w:p>
      <w:r>
        <w:t>Angesichts der gesamten Umstände sind keine Gründe ersichtlich, die einen Selbsteintritt der Vorinstanz gemäss Art. 3 Abs. 2 Dublin-II-VO nahegelegt hätten. Das BFM ist somit in Anwendung von Art. 34 Abs. 2 Bst. d AsylG zu Recht auf das Asylgesuch des Beschwerdeführers nicht eingetreten.</w:t>
      </w:r>
    </w:p>
    <w:p>
      <w:r>
        <w:rPr>
          <w:b/>
        </w:rPr>
        <w:t>E. 9.1</w:t>
      </w:r>
    </w:p>
    <w:p>
      <w:r>
        <w:t>Das Nichteintreten auf ein Asylgesuch hat in der Regel die Wegweisung aus der Schweiz zur Folge (Art. 44 Abs. 1 AsylG). Vorliegend hat der Kanton keine Aufenthaltsbewilligung erteilt, und es besteht zudem kein Anspruch auf Erteilung einer solchen (vgl. EMARK 2001 Nr. 21). Die verfügte Wegweisung steht daher im Einklang mit den gesetzlichen Bestimmungen und wurde vom BFM zu Recht angeordnet.</w:t>
      </w:r>
    </w:p>
    <w:p>
      <w:r>
        <w:rPr>
          <w:b/>
        </w:rPr>
        <w:t>E. 9.2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1 - 4 des Bundesgesetzes vom 16. Dezember 2005 über die Ausländerinnen und Ausländer (AuG, SR 142.20). Eine entsprechende Prüfung hat, soweit notwendig, vielmehr bereits im Rahmen des Nichteintretensentscheides stattzufinden (vgl. BVGE 2010/45 E. 10.2). Die Vorinstanz hat in diesem Sinne den Vollzug der Wegweisung nach Italien zu Recht als zulässig, zumutbar und möglich bezeichnet.</w:t>
      </w:r>
    </w:p>
    <w:p>
      <w:r>
        <w:rPr>
          <w:b/>
        </w:rPr>
        <w:t>E. 10</w:t>
      </w:r>
    </w:p>
    <w:p>
      <w:r>
        <w:t>Aus diesen Erwägungen ergibt sich, dass es dem Beschwerdeführer nicht gelungen ist darzutun, inwiefern die angefochtene Verfügung Bundesrecht verletzt, den rechtserheblichen Sachverhalt unrichtig oder unvollständig feststellt oder unangemessen ist (Art. 106 AsylG). Die Beschwer-de ist daher abzuweisen.</w:t>
      </w:r>
    </w:p>
    <w:p>
      <w:r>
        <w:rPr>
          <w:b/>
        </w:rPr>
        <w:t>E. 11</w:t>
      </w:r>
    </w:p>
    <w:p>
      <w:r>
        <w:t>Dem Ausgang des Verfahrens entsprechend wären die Kosten dem mit seinen Begehren unterlegenen Beschwerdeführer aufzuerlegen (Art. 63 Abs. 1 VwVG). Dieser hat aber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Aus den aufgezeigten Gründen kann dem Beschwerdeführer nicht vorgehalten werden, seiner Beschwerde habe es im Zeitpunkt der Beantragung der Gewährung der unentgeltlichen Rechtspflege mit Blick auf die Erfolgsaussichten an der nötigen Ernsthaftigkeit gefehlt (vgl. BGE 125 II 265 E. 4b S. 275). Zudem ist er aufgrund der Akten als mittellos zu erachten.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