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E-3278/2022 vom 25. Juli 2022</w:t>
      </w:r>
    </w:p>
    <w:p>
      <w:r>
        <w:t>Bundesverwaltungsgericht, 2022-07-25, DE</w:t>
      </w:r>
    </w:p>
    <w:p>
      <w:r>
        <w:rPr>
          <w:b/>
        </w:rPr>
        <w:t xml:space="preserve">Quelle: </w:t>
      </w:r>
      <w:r>
        <w:t>https://mcp.opencaselaw.ch/entscheid/bvger_E-3278_2022_d20220725</w:t>
      </w:r>
    </w:p>
    <w:p>
      <w:r>
        <w:t>FR: TAF E-3278/2022 du 25 juillet 2022</w:t>
      </w:r>
    </w:p>
    <w:p>
      <w:r>
        <w:t>IT: TAF E-3278/2022 del 25 luglio 2022</w:t>
      </w:r>
    </w:p>
    <w:p>
      <w:pPr>
        <w:pStyle w:val="Heading2"/>
      </w:pPr>
      <w:r>
        <w:t>Regeste</w:t>
      </w:r>
    </w:p>
    <w:p>
      <w:r>
        <w:t>Nichteintreten auf Asylgesuch und Wegweisung (Dublin-Verfahren - Art. 31a Abs. 1 Bst. b AsylG) | Nichteintreten auf Asylgesuch und Wegweisung (Dublin-Verfahren); Verfügung des SEM vom 25. Juli 2022</w:t>
      </w:r>
    </w:p>
    <w:p>
      <w:pPr>
        <w:pStyle w:val="Heading2"/>
      </w:pPr>
      <w:r>
        <w:t>Erwägungen</w:t>
      </w:r>
    </w:p>
    <w:p>
      <w:r>
        <w:rPr>
          <w:b/>
        </w:rPr>
        <w:t>E. 17</w:t>
      </w:r>
    </w:p>
    <w:p>
      <w:r>
        <w:t>Dezember 2019 E. 6.3), dass für die Übernahme der Zuständigkeit Italiens gestützt auf Art. 3 Abs. 2 Dublin-III-VO kein Anlass besteht,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 stimmung "aus humanitären Gründen" auch dann behandeln kann, wenn dafür gemäss Dublin-III-VO ein anderer Staat zuständig wäre, dass der Beschwerdeführer mit seiner Begründung, Italien sei für Asylsu- chende nicht sicher und die dortigen Aufnahmebedingungen seien</w:t>
      </w:r>
    </w:p>
    <w:p>
      <w:r>
        <w:t>E-3278/2022 Seite 6 schlecht, implizit die Anwendung von Art. 17 Abs. 1 Dublin-III-VO respek- tive Art. 29a Abs. 3 AsylV 1 verlangt,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völkerrechtlichen Verpflichtungen grundsätz- lich nachkommt, dass zwar die Unterstützung und die Einrichtungen für Asylsuchende und Personen mit Schutzstatus in Italien in der Kritik steht, aber gemäss den bisherigen Erkenntnissen des Bundesverwaltungsgerichts davon auszuge- hen ist, Italien halte die Verfahrens- und Aufnahmerichtlinien ein (siehe etwa Referenzurteil des BVGer D-4235/2021 vom 19. April 2022 E. 10; Ur- teile des BVGer E-3390/2022 vom 15. August 2022 und E-3186/2022 vom 11. August 2022), dass das Gesetzesdekret Nr. 130/2020 vom 21. Oktober 2021 eine umfas- sende Reform des Aufnahmesystems für Asylsuchende in Italien vorsieht, indem zentrale Bestimmungen des sogenannten Salvini-Dekrets geändert wurden und ein engverflochtenes Aufnahme- und Integrationssystem im- plementiert wurde, dass Asylsuchende nach dem Anmeldeverfahre in das Aufnahme- und In- tegrationssystem SAI (Sistema di accoglienza e integrazione) überführt werden, welches nunmehr wieder allen Asylsuchenden – also auch den im Rahmen des Dublin-Verfahrens nach Italien überstellten Personen – of- fensteht, dass der Beschwerdeführer in Italien noch gar kein Asylgesuch eingereicht hat, weshalb er den italienischen Behörden auch nicht vorhalten kann, er habe ohne entsprechende Unterstützung leben müssen, dass Italien ein Rechtsstaat ist, welcher über ein funktionierendes Rechts- system verfügt und der Beschwerdeführer sich bei einer allfälligen Bedro- hung durch Privatpersonen an die zuständigen polizeilichen Behörden wenden kann, dass sich der Beschwerdeführer in der Rechtsmitteleingabe nicht mehr zu seiner gesundheitlichen Situation äussert und er bei Bedarf zur allfälligen</w:t>
      </w:r>
    </w:p>
    <w:p>
      <w:r>
        <w:t>E-3278/2022 Seite 7 Behandlung seiner gesundheitlichen Probleme ([…], […], […] und […]) auch in Italien medizinische Unterstützung beantragen kann, zumal er mit der Registrierung nach Einreichung des Asylgesuchs dort einen Ausländer- ausweis erhalten wird, der ihm den Zugang zu Dienstleistungen, wie bei- spielsweise der medizinischen Versorgung, erleichtert (vgl. Urteil des BVGer F-5476/2021 vom 1. Februar 2022 E. 6.1), dass es keinen Grund für eine Anwendung von Art. 17 Dublin-III-VO oder Art. 29a Abs. 3 AsylV1 gibt und festzuhalten ist,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der Beschwerdeführer nicht im Besitz einer gültigen Aufent- halts- oder Niederlassungsbewilligung ist – in Anwendung von Art. 44 AsylG die Überstellung nach Italien angeordnet hat (Art. 32 Bst. a AsylV 1), dass die Beschwerde abzuweisen ist,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E-3278/2022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