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E-3278/2014 vom 8. Oktober 2014</w:t>
      </w:r>
    </w:p>
    <w:p>
      <w:r>
        <w:t>Bundesverwaltungsgericht, 2014-10-08, DE</w:t>
      </w:r>
    </w:p>
    <w:p>
      <w:r>
        <w:rPr>
          <w:b/>
        </w:rPr>
        <w:t xml:space="preserve">Quelle: </w:t>
      </w:r>
      <w:r>
        <w:t>https://mcp.opencaselaw.ch/entscheid/bvger_E-3278_2014</w:t>
      </w:r>
    </w:p>
    <w:p>
      <w:r>
        <w:t>FR: TAF E-3278/2014 du 8 octobre 2014</w:t>
      </w:r>
    </w:p>
    <w:p>
      <w:r>
        <w:t>IT: TAF E-3278/2014 del 8 ottobre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Abs. 1 VwVG). Auf die Beschwerde ist einzutreten.</w:t>
      </w:r>
    </w:p>
    <w:p>
      <w:r>
        <w:rPr>
          <w:b/>
        </w:rPr>
        <w:t>E. 2</w:t>
      </w:r>
    </w:p>
    <w:p>
      <w:r>
        <w:t>Die Kognition des Bundesverwaltungsgerichts im Asylbereich und die zulässigen Rügen bestimmen sich nach Art. 106 Abs. 1 AsylG.</w:t>
      </w:r>
    </w:p>
    <w:p>
      <w:r>
        <w:rPr>
          <w:b/>
        </w:rPr>
        <w:t>E. 3</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Asylsuchende, die im Ausland vor dem Inkrafttreten der Änderung gestellt worden sind - was vorliegend zutrifft -, die einschlägigen Normen in der bisherigen Fassung gelten.</w:t>
      </w:r>
    </w:p>
    <w:p>
      <w:r>
        <w:rPr>
          <w:b/>
        </w:rPr>
        <w:t>E. 4.1</w:t>
      </w:r>
    </w:p>
    <w:p>
      <w:r>
        <w:t>Gemäss aArt. 19 Abs. 1 AsylG kann ein Asylgesuch aus dem Ausland direkt beim BFM eingereicht werden (vgl. BVGE 2007/19 E. 3.3). Hinsichtlich des Verfahrens bei der schweizerischen Vertretung im Ausland sieht aArt. 10 der Asylverordnung 1 vom 11. August 1999 (AsylV 1, SR 142.311) vor, dass diese mit der asylsuchenden Person in der Regel eine Befragung durchführt. Das Bundesamt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d.h.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w:t>
      </w:r>
    </w:p>
    <w:p>
      <w:r>
        <w:rPr>
          <w:b/>
        </w:rPr>
        <w:t>E. 4.4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Folgenden ist zunächst zu prüfen, ob die Beschwerdeführerinnen bei einer Rückkehr in ihre Heimat - die Volksrepublik China - einer Gefährdung von Art. 3 AsylG ausgesetzt wären.</w:t>
      </w:r>
    </w:p>
    <w:p>
      <w:r>
        <w:rPr>
          <w:b/>
        </w:rPr>
        <w:t>E. 5.1.1</w:t>
      </w:r>
    </w:p>
    <w:p>
      <w:r>
        <w:t>Das BFM stellte in seiner Verfügung vom 15. Mai 2014 fest, dass die geltend gemachten Benachteiligungen, denen die Beschwerdeführerin nach der Ausreise ihres Ehemannes ausgesetzt gewesen sei (sog. Reflexverfolgung), unglaubhaft seien (Art. 7 AsylG), da schon die politischen Aktivitäten des Ehemannes in seiner Heimat im damaligen Verfahren als unglaubhaft qualifiziert worden seien.</w:t>
      </w:r>
    </w:p>
    <w:p>
      <w:r>
        <w:rPr>
          <w:b/>
        </w:rPr>
        <w:t>E. 5.1.2</w:t>
      </w:r>
    </w:p>
    <w:p>
      <w:r>
        <w:t>Demgegenüber betonte die Rechtsvertreterin, dass Tibeter, welche die Volksrepublik China illegal verlassen hätten, bei einer Rückkehr mit Haft und Misshandlung in flüchtlingsrelevanter Intensität rechnen müssten, da sie von den chinesischen Behörden als Unterstützer des Dalai Lama und damit als separatistisch gesinnte Oppositionelle zu betrachten seien. Auch wenn die politischen Aktivitäten des Ehemannes in Zweifel gezogen würden, sei es dennoch glaubhaft, dass die Beschwerdeführerin alleine aufgrund seiner illegalen Ausreise unter Druck gesetzt worden sei.</w:t>
      </w:r>
    </w:p>
    <w:p>
      <w:r>
        <w:rPr>
          <w:b/>
        </w:rPr>
        <w:t>E. 5.1.3</w:t>
      </w:r>
    </w:p>
    <w:p>
      <w:r>
        <w:t>Weder der Anhörung noch den weiteren Akten sind glaubhafte Hinweise dafür zu entnehmen, dass die Beschwerdeführerinnen im Tibet einer asylrechtlich relevanten Verfolgung ausgesetzt waren. D._______, der Ehemann der Beschwerdeführerin, verliess eigenen Angaben entsprechend (...) 2009 die Volksrepublik China Richtung Nepal. Die Beschwerdeführerin gab indessen an, dass schon aufgrund seiner politischen Aktivitäten im März 2008 chinesische Behördenvertreter zu ihr nach Hause gekommen seien und sich nach ihm erkundigt hätten. Als sie keine Fragen habe beantworten können, sei sie auf einen Polizeiposten mitgenommen worden. Es sei ihr gedroht worden, eine Gefängnisstrafe absitzen zu müssen. Später sei sie noch ein paar Mal zu Hause aufgesucht worden, doch habe sie nie die Frage nach seinem Aufenthaltsort beantworten können (B18 S. 9). Im (...) 2009 sei dann ihre Schwiegermutter verstorben, weshalb sie in ihr Heimatdorf zu ihrer Mutter zurückgegangen sei (B18 S. 6). Aber auch dort sei sie zu Hause aufgesucht worden. Erst im (...) 2010 sei sie mit ihren Kindern nach H._______ und später ins Ausland gereist (B18 S. 6 und 9). Diese Aussagen zeugen nicht davon, dass die Beschwerdeführerin nach der Ausreise ihres Ehemannes einer asylrelevanten Misshandlung durch die Behörden ausgesetzt war, zumal sie - sollten sie sich überhaupt ereignet haben - von zu geringer Intensität gewesen wären. Auch wenn sie tatsächlich von chinesischen Behördenvertretern aufgesucht und bedroht worden wäre, sind diesen Bedrohungen nie irgendwelche Taten gefolgt, obwohl die Beschwerdeführerin nie kooperiert habe. Zudem spricht der Umstand, dass die Beschwerdeführerin erst nach dem Tod ihrer Schwiegermutter - etwa ein Jahr nach der Ausreise ihres Ehemannes - in ihr Heimatdorf gegangen sei, auch gegen eine akute Bedrohungslage, zumal sie dieses erst über ein Jahr später schliesslich verlassen habe, um sich nach Nepal zu begeben.</w:t>
      </w:r>
    </w:p>
    <w:p>
      <w:r>
        <w:rPr>
          <w:b/>
        </w:rPr>
        <w:t>E. 5.1.4</w:t>
      </w:r>
    </w:p>
    <w:p>
      <w:r>
        <w:t>Damit steht zusammengefasst fest, dass keine Vorfluchtgründe glaubhaft gemacht wurden.</w:t>
      </w:r>
    </w:p>
    <w:p>
      <w:r>
        <w:rPr>
          <w:b/>
        </w:rPr>
        <w:t>E. 5.2</w:t>
      </w:r>
    </w:p>
    <w:p>
      <w:r>
        <w:t>Die Beschwerdeführerinnen haben ihr Heimatland illegal verlassen. Ihnen können deswegen - was vom BFM auch nicht bestritten wird - bei einer Rückkehr Verfolgung drohen (vgl. BVGE 2009/29 E. 6.2 ff.). Zu Recht weist die Vorinstanz jedoch darauf hin, dass Personen, welche - aufgrund subjektiver Nachfluchtgründe - vom Asyl auszuschliessen sind, die Einreise nicht zu bewilligen ist. Gemäss Praxis des Bundesverwaltungsgerichts entspricht es nicht der gesetzlichen Logik, Personen, die sich im Ausland befinden, die Einreise in die Schweiz zu gewähren, um sie anschliessend - trotz einer allfälligen Anerkennung als Flüchtlinge - aus der Schweiz wegzuweisen (vgl. BVGE 2012/26 E. 7.1).</w:t>
      </w:r>
    </w:p>
    <w:p>
      <w:r>
        <w:rPr>
          <w:b/>
        </w:rPr>
        <w:t>E. 5.3</w:t>
      </w:r>
    </w:p>
    <w:p>
      <w:r>
        <w:t>Aufgrund der Feststellung, dass die Beschwerdeführerinnen bloss hinsichtlich subjektiver Nachfluchtgründe asylrelevant verfolgt werden, sind die Asyl- und Einreisegesuche unbesehen der Beziehungsnähe zur Schweiz und ohne Prüfung, inwiefern ein Verbleib in Indien zumutbar ist, abzuweisen (vgl. BVGE 2012/26 E. 7.1 ff.). Auf die diesbezüglichen Ausführungen in der Beschwerdeschrift ist demnach nicht näher einzugehen.</w:t>
      </w:r>
    </w:p>
    <w:p>
      <w:r>
        <w:rPr>
          <w:b/>
        </w:rPr>
        <w:t>E. 5.4</w:t>
      </w:r>
    </w:p>
    <w:p>
      <w:r>
        <w:t>Zusammenfassend ist festzuhalten, dass es den Beschwerdeführerinnen nicht gelungen ist, eine unmittelbare Gefahr aus einem Grund nach Art. 3 AsylG glaubhaft zu machen, noch dass weitere Abklärungen notwendig wären, während denen ein weiterer Verbleib in Indien nicht zumutbar wäre. Sie sind daher auf den Schutz der Schweiz nicht angewiesen. Die Vorinstanz hat demnach zu Recht die Einreise in die Schweiz nicht bewilligt und die Asylgesuche abgelehnt.</w:t>
      </w:r>
    </w:p>
    <w:p>
      <w:r>
        <w:rPr>
          <w:b/>
        </w:rPr>
        <w:t>E. 6</w:t>
      </w:r>
    </w:p>
    <w:p>
      <w:r>
        <w:t>Eine Prüfung, ob die Einreise in die Schweiz gemäss Art. 85 Abs. 7 AuG zu gewähren wäre, ist vorliegend zu unterlassen, zumal die entsprechenden formellen Voraussetzungen - Gesuch bei einer kantonalen Behörde und Überweisung durch diese mit entsprechendem Bericht an das BFM - nicht erfüllt sind.</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den Beschwerde-führerinnen aufzuerlegen (Art. 63 Abs. 1 VwVG). Wie bereits in der Verfügung vom 25. Juni 2014 festgehalten, wird vorliegend aus verwaltungsökonomischen Gründen in Anwendung von Art. 6 Bst. b des Reglements vom 21. Februar 2008 über die Kosten und Entschädigungen vor dem Bundesverwaltungsgericht (VGKE, SR 173.320.2)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