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E-3276/2017 vom 24. Juli 2017</w:t>
      </w:r>
    </w:p>
    <w:p>
      <w:r>
        <w:t>Bundesverwaltungsgericht, 2017-07-24, DE</w:t>
      </w:r>
    </w:p>
    <w:p>
      <w:r>
        <w:rPr>
          <w:b/>
        </w:rPr>
        <w:t xml:space="preserve">Quelle: </w:t>
      </w:r>
      <w:r>
        <w:t>https://mcp.opencaselaw.ch/entscheid/bvger_E-3276_2017</w:t>
      </w:r>
    </w:p>
    <w:p>
      <w:r>
        <w:t>FR: TAF E-3276/2017 du 24 juillet 2017</w:t>
      </w:r>
    </w:p>
    <w:p>
      <w:r>
        <w:t>IT: TAF E-3276/2017 del 24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3.4</w:t>
      </w:r>
    </w:p>
    <w:p>
      <w:r>
        <w:t>Asylsuchende sind verpflichtet, an der Feststellung des Sachverhalts mitzuwirken. Sie müssen insbesondere ihre Identität offenlegen sowie Reisepapiere und Identitätsausweise abgeben (Art. 8 AsylG und Art. 2a Asylverordnung 1 vom 11. August 1999 [AsylV 1, SR 142.311]). Der Untersuchungsgrundsatz findet unter anderem seine Grenze an der Mitwirkungspflicht (Art. 8 AsylG, vgl. BVGE 2014/12 E. 6 S. 213 f.).</w:t>
      </w:r>
    </w:p>
    <w:p>
      <w:r>
        <w:rPr>
          <w:b/>
        </w:rPr>
        <w:t>E. 3.5</w:t>
      </w:r>
    </w:p>
    <w:p>
      <w:r>
        <w:t>Nach Lehre und Praxis trägt die asylsuchende Person die Beweislast für die von ihr behauptete Minderjährigkeit. Mithin ist diese zu beweisen oder mindestens glaubhaft zu machen (vgl. dazu EMARK 2004 Nr. 30 E. 5 ff.). Bestehen Hinweise, dass eine angeblich minderjährige asylsuchende Person das Mündigkeitsalter bereits erreicht hat, so kann das SEM ein Altersgutachten veranlassen (Art. 17 Abs. 3bis AsylG). Im Rahmen der Feststellung des Sachverhalts kann mit Unterstützung wissenschaftlicher Methoden abgeklärt werden, ob die Altersangabe der asylsuchenden Person dem tatsächlichen Alter entspricht (Art. 7 Abs. 1 AsylV 1).</w:t>
      </w:r>
    </w:p>
    <w:p>
      <w:r>
        <w:rPr>
          <w:b/>
        </w:rPr>
        <w:t>E. 4</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zutreffend erkannt, dass der Ausreisegrund des Beschwerdeführers - Verschwinden der Eltern - keine Asylrelevanz zu entfalten vermag, was auf Beschwerdeebene auch nicht in Frage gestellt wird. Hinzu kommt, dass - neben anderen diesbezüglich gravierenden Widersprüchen - bereits die zeitlichen Angaben zu dem angeblichen Verschwinden der Eltern so diametral voneinander abweichen, dass der Glaubwürdigkeit des Beschwerdeführers, mithin der Glaubhaftigkeit seiner Fluchtgeschichte der Boden entzogen ist (vgl. hierzu EMARK 1993/3 E. 3 S. 13). Die anschliessenden Reiseschilderungen ergeben kein anderes Bild (z. B. gemäss Erstbefragung zu Fuss, gemäss Zweitbefragung mit dem Flugzeug über die iranische Grenze, SEM-Akten, A10, S. 7 und A27, S. 9, insb. F98). Insgesamt ist auch die Beurteilung der Glaubhaftigkeit der geltend gemachten Minderjährigkeit durch die Vorinstanz nicht zu beanstanden. So ist der Beschwerdeführer - neben dem Ergebnis des Altersgutachtens vom Februar 2016 (19 Jahre oder älter) - seiner Mitwirkungspflicht im Asylverfahren nicht nachgekommen. Er hat weder Reisepapiere noch Identitätsausweise abgegeben, obschon er seit Beginn seines Asylverfahrens explizit darauf hingewiesen wurde und hierzu weit über ein Jahr Zeit gehabt hätte (Art. 8 Abs. 1 Bst. b AsylG). Seine Erklärungen hierzu sind stereotyp und widersprüchlich ausgefallen (z. B. nur die Mutter soll das genaue Alter kennen, Widersprüche zu den Schuljahren, ungenaue sowie widersprüchliche Altersangaben zu Geschwistern, gemäss Erstbefragung Ausreise mit Tazkira, Reisepass nie beantragt, gemäss Zweitbefragung Ausreise mit Reisepass, SEM-Akten, A10, S. 6 und A27, S. 10, F103 ff.). Dasselbe trifft für die übrigen Angaben zum Alter und Lebenslauf zu. So gibt er beispielsweise den Behörden bei der illegalen Einreise in die Schweiz sowie im Personalienblatt und anlässlich der Daktyloskopie das Geburtsjahr 2000 an (SEM-Akten, A1, A2 und A6), will dann aber bereits in der Erstbefragung vom 4. März 2016 sein Geburtsjahr nicht mehr wissen, sondern gibt lediglich an, er sei 17 und werde beim nächsten Geburtstag 18 (SEM-Akten, A10, S. 3). In der Zweitbefragung vom 1. März 2017 gibt er zu Protokoll, er sei bereits 19 geworden (SEM-Akten, A27, S. 3, F9). Vor diesem Hintergrund ist davon auszugehen, dass der Beschwerdeführer absichtlich sein wahres Alter - insbesondere seine wahre Identität - zu verschleiern versucht und deshalb keine Identitätsdokumente einreicht. Der diesbezüglich spärliche Erklärungsversuch auf Beschwerdeebene - er habe deutlich zu Protokoll gegeben, dass er unterwegs seine Identitätsdokumente verloren habe, womit kein Selbstverschulden vorliege - ist nicht stichhaltig. Auch die Rügen, die Vorinstanz stütze sich bei ihrer Entscheidung "voll und ganz" auf das Ergebnis der Handknochenanalyse und halte das Ergebnis der Knochenanalyse für absolut richtig, gehen ins Leere (Beschwerde, S. 5), zumal die Vorinstanz ihre Schlussfolgerung zum Alter auf die vielzähligen diesbezüglichen Ungereimtheiten und Widersprüche stützt und das Altersgutachten lediglich im Sachverhalt aufführt. Somit war sich die Vorinstanz bewusst, dass dieses nur einen beschränkten Beweiswert hat, was sie zutreffend würdigte (vgl. Urteile des BVGer A-2143/2016 vom 6. Dezember 2016 E. 5.3, A-1987/2016 vom 6. September 2016 E. 8.7.2, D-3375/2016 vom 10. August 2016 E. 5.3.1 und D-5785/2015 vom 10. März 2016 E. 3.3.1 m.w.H.). Die Ausführungen der Vorinstanz sind nicht zu beanstanden. Um Wiederholungen zu vermeiden, ist auf die in der vorinstanzlichen Verfügung detailliert aufgeführten und zutreffenden Widersprüche zu verweisen. Das Asylgesuch wurde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wurde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der Beschwerde oder den Akten ergeben sich keine konkreten Anhaltspunkte dafür, dass der Beschwerdeführer für den Fall einer Ausschaffung nach Afghanistan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lebte nach eigenen Angaben bis zu seiner Ausreise in seiner Geburtsstadt Kabul. Auf Beschwerdeebene wird hierzu ausgeführt: "Der Beschwerdeführer lebte vor seiner Einreise in die Schweiz mit seinen Eltern und Geschwistern in Kabul" (Beschwerde, S. 4). Betreffend die allgemeine Lage in Afghanistan ist auf das Urteil BVGE 2011/7 zu verweisen. Nach eingehender Lageanalyse stellte das Bundesverwaltungsgericht fest, dass die Sicherheitslage sowie die humanitären Bedingungen in weiten Teilen Afghanistans schlecht seien, weshalb die Situation praktisch flächendeckend als existenzbedrohend im Sinn von Art. 83 Abs. 4 AuG zu qualifizieren sei. Von dieser allgemeinen Feststellung sei die Lage in der Hauptstadt Kabul zu unterscheiden. Weil die Sicherheitslage dort weniger bedrohlich als in den anderen Landesteilen sei, könne der Vollzug der Wegweisung nach Kabul unter Umständen als zumutbar qualifiziert werden (ausführlich zur Zumutbarkeit des Wegweisungsvollzugs nach Afghanistan statt vieler BVGE 2011/7 und BVGE 2011/38). Was die individuelle Situation des Beschwerdeführers anbelangt, ist bei erheblichen Mitwirkungspflichtverletzungen vermutungsweise davon auszugehen, dass einer Wegweisung keine Vollzugshindernisse im gesetzlichen Sinne entgegenstehen (statt vieler BVGE 2014/12 E. 6). So hat der Beschwerdeführer durch die Verheimlichung beziehungsweise Verschleierung seiner Herkunft die ihm obliegende Mitwirkungspflicht verletzt (oben E. 3.4 und E. 3.5). Indem er offensichtlich widersprüchliche, mithin falsche Angaben zu seinen familiären Verhältnissen (so auch zum angeblichen Verschwinden der Eltern, zum Ganzen oben E. 4) gemacht hat, ist davon auszugehen, dass die individuellen Voraussetzungen vorliegen, welche an die Zumutbarkeit einer Wegweisung nach Kabul gestellt werden. Der Beschwerdeführer hat die Folgen seiner fehlenden Mitwirkung selbst zu tragen. Es ist der Vorinstanz auch darin beizupflichten, dass es nicht Sache der Behörden ist, bei fehlenden, gezielt vorenthaltenen Hinweisen, nach allfälligen Wegweisungsvollzugshindernissen zu forschen. Die Beschwerdeausführungen und der Bericht von Amnesty International sind nicht geeignet, am Beweisergebnis etwas zu ändern. Um Wiederholungen zu vermeiden, kann auch an dieser Stelle auf die zutreffenden Ausführungen der Vorinstanz verwiesen werden.</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und dazu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