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E-3273/2014 vom 4. November 2014</w:t>
      </w:r>
    </w:p>
    <w:p>
      <w:r>
        <w:t>Bundesverwaltungsgericht, 2014-11-04, FR</w:t>
      </w:r>
    </w:p>
    <w:p>
      <w:r>
        <w:rPr>
          <w:b/>
        </w:rPr>
        <w:t xml:space="preserve">Quelle: </w:t>
      </w:r>
      <w:r>
        <w:t>https://mcp.opencaselaw.ch/entscheid/bvger_E-3273_2014</w:t>
      </w:r>
    </w:p>
    <w:p>
      <w:r>
        <w:t>FR: TAF E-3273/2014 du 4 novembre 2014</w:t>
      </w:r>
    </w:p>
    <w:p>
      <w:r>
        <w:t>IT: TAF E-3273/2014 del 4 novembre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sauf exception de l'art. 83 let. d ch. 1 LTF non réalisée en l'espèce, statue définitivement.</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l'ODM ou lorsque des événements ou des craintes déterminés invoqués par la suite comme motif principal d'asile n'ont pas été évoqués, au moins dans les grandes lignes, audit centre (Jurisprudence et informations de la Commission suisse de recours en matière d'asile [JICRA] 1993 no 3).</w:t>
      </w:r>
    </w:p>
    <w:p>
      <w:r>
        <w:rPr>
          <w:b/>
        </w:rPr>
        <w:t>E. 3.1</w:t>
      </w:r>
    </w:p>
    <w:p>
      <w:r>
        <w:t>Dans sa décision du 20 mai 2014, l'ODM a estimé que les déclarations du recourant ne remplissaient pas les conditions de vraisemblance posées à l'art. 7 LAsi, notamment parce qu'elles contenaient de nombreuses contradictions sur des points essentiels. Le recourant n'a en outre produit aucun moyen de preuve, qui aurait permis de démontrer son engagement en tant que journaliste et sa détention, alors même qu'il aurait été représenté par un avocat.</w:t>
      </w:r>
    </w:p>
    <w:p>
      <w:r>
        <w:rPr>
          <w:b/>
        </w:rPr>
        <w:t>E. 3.2</w:t>
      </w:r>
    </w:p>
    <w:p>
      <w:r>
        <w:t>Dans son recours, l'intéressé a contesté cette appréciation et affirmé que ses déclarations avaient été présentées de manière cohérente, constante et fondée ; il a aussi reproché à l'ODM de ne pas avoir tenu compte de sa situation personnelle et médicale et s'est prévalu de l'existence d'une crainte fondée d'être exposé à des persécutions en cas de retour.</w:t>
      </w:r>
    </w:p>
    <w:p>
      <w:r>
        <w:rPr>
          <w:b/>
        </w:rPr>
        <w:t>E. 3.3</w:t>
      </w:r>
    </w:p>
    <w:p>
      <w:r>
        <w:t>Le Tribunal, à l'instar de l'ODM, estime que les déclarations du recourant ne sont pas vraisemblables au regard des nombreuses contradictions relevées. Ainsi, lors de son audition sur ses données personnelles du 15 août 2012, l'intéressé a déclaré avoir fait appel, en vain, à la police, pour dénoncer ce qui se passait dans les fabriques de feux d'artifice, puis s'être fait arrêter et avoir été détenu plusieurs fois, sans que cela n'excède deux ou trois jours ; finalement, il aurait été incarcéré trois mois de (...) à (...) 2012. Il a expressément affirmé ne pas avoir été présenté devant un tribunal (A6/10, p. 6 s.). Lors de la seconde audition du 5 mai 2014, il a dit avoir été arrêté une seule fois par la police et avoir été placé en détention pour une durée de trois mois et demi, de (...) 2011 à (...) 2012. Il aurait comparu deux fois devant un tribunal et aurait été représenté par un avocat (A13/17, Q34-51 p. 6-8). La description de son altercation avec la police et les hommes de main des propriétaires fait également l'objet de deux récits distincts. Il aurait tantôt été torturé à son domicile et battu dans la rue à la vue des gens, tantôt la police l'aurait battu une fois arrivé au poste, les hommes de main des propriétaires étant arrivés durant la nuit (A6/10, p. 6 et A13/17, Q34-44 p. 6 s.). Le recourant s'est encore contredit, dans la même audition, déclarant avoir recherché son reportage auprès de deux amis, pour ensuite affirmer qu'une seule personne connaissait son projet (A13/17, Q52 p. 8 et Q69 p. 10). Les déclarations sur les circonstances de son départ ne concordent pas davantage. Il a d'abord déclaré avoir passé quinze jours au village, chez des voisins ou à l'hôtel, avec des séjours au Penjab et dans le sud de l'Inde, avant de rejoindre D._______, qu'il aurait quitté pour le (...) en (...) 2012 (A6/10, p. 4), puis, avoir immédiatement quitté l'endroit pour se rendre dans différentes villes, notamment à Calcutta et à Chennai, n'y restant jamais plus d'une à deux semaines et avoir quitté son pays à (...) 2012 (A13/17, Q55 et Q56, Q65, p. 9 et 10). Lors de la seconde audition, le recourant a encore précisé que, alors qu'il voulait récupérer son reportage, l'une des personnes à qui il l'avait confié était accompagnée des hommes de main de l'un des propriétaires qui ont tiré dans sa direction dès qu'il s'est approché et qu'il avait eu de la chance d'en sortir vivant. Invité par l'ODM à se prononcer sur la raison pour laquelle, il n'avait pas mentionné cet événement lors de sa première audition, le recourant a relevé que celle-ci s'était déroulée très rapidement et qu'on ne lui avait pas laissé la possibilité d'expliquer en détails (A13/17, R92, p. 13). De manière générale, le recourant a aussi justifié les nombreuses contradictions relevées par le long laps de temps écoulé entre les deux auditions (A13/17 R99, p. 14). Toutefois, les divergences mises en exergue ne sont pas minimes mais concernent les motifs même d'asile. Le recourant a présenté deux récits différents que ce soit au niveau de leur chronologie à l'exception de l'explosion du mois de (...) 2011 des circonstances, des personnes impliquées et de l'intensité des événements prétendument vécus. Ainsi, un laps de temps, même relativement long entre deux auditions, ne permet pas de justifier des divergences sur des points aussi essentiels que ceux relevés ci-avant. En outre, et contrairement à ce qu'il a affirmé, l'audition sur les données personnelles du 15 août 2012 a duré deux heures et il a été expressément invité à dire s'il avait mentionné tous ses motifs d'asile. A cet égard, et comme le relevait l'ODM, le recourant n'apporte aucun moyen de preuve, alors que l'on aurait pu attendre de sa part qu'il prenne contact avec l'avocat que son père avait mandaté, dont il connaît le nom et dont il sait qu'il travaille à (...). Ainsi, contrairement à ce que soutient le recourant, il n'a pas réussi à rendre vraisemblable l'existence d'une crainte objectivement fondée d'être exposé à de sérieux préjudices au sens de l'art. 3 LAsi, en cas de retour en Inde.</w:t>
      </w:r>
    </w:p>
    <w:p>
      <w:r>
        <w:rPr>
          <w:b/>
        </w:rPr>
        <w:t>E. 3.4</w:t>
      </w:r>
    </w:p>
    <w:p>
      <w:r>
        <w:t>Au vu de ce qui précède, le recours, en tant qu'il conteste le refus de la reconnaissance de la qualité de réfugié et le rejet de la demande d'asile,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w:t>
      </w:r>
    </w:p>
    <w:p>
      <w:r>
        <w:rPr>
          <w:b/>
        </w:rPr>
        <w:t>E. 6.5</w:t>
      </w:r>
    </w:p>
    <w:p>
      <w:r>
        <w:t>En l'occurrence, le recourant n'a pas rendu hautement probable qu'il serait personnellement visé, en cas de retour dans son pays d'origine, par des mesures incompatibles avec l'art. 3 CEDH ou d'autres dispositions contraignantes de droit international. 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l'Inde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Si le recourant fait certes grief à l'autorité intimée de ne pas avoir tenu compte de sa situation personnelle et médicale, il ne donne aucune précision sur les raisons qui rendraient l'exécution de son retour inexigible. Le Tribunal relève au contraire que rien au dossier ne permet de conclure à l'inexigibilité de l'exécution du renvoi du recourant : il est jeune, en bonne santé, au bénéfice d'une bonne formation et d'une expérience professionnelle.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 ; ATAF 2008/34 consid. 12).</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11.1</w:t>
      </w:r>
    </w:p>
    <w:p>
      <w:r>
        <w:t>Au vu de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rPr>
          <w:b/>
        </w:rPr>
        <w:t>E. 11.2</w:t>
      </w:r>
    </w:p>
    <w:p>
      <w:r>
        <w:t>Le recourant succombant sur l'entier de ses conclusions, il n'est pas alloué de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