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E-3273/2013 vom 22. Juli 2013</w:t>
      </w:r>
    </w:p>
    <w:p>
      <w:r>
        <w:t>Bundesverwaltungsgericht, 2013-07-22, DE</w:t>
      </w:r>
    </w:p>
    <w:p>
      <w:r>
        <w:rPr>
          <w:b/>
        </w:rPr>
        <w:t xml:space="preserve">Quelle: </w:t>
      </w:r>
      <w:r>
        <w:t>https://mcp.opencaselaw.ch/entscheid/bvger_E-3273_2013</w:t>
      </w:r>
    </w:p>
    <w:p>
      <w:r>
        <w:t>FR: TAF E-3273/2013 du 22 juillet 2013</w:t>
      </w:r>
    </w:p>
    <w:p>
      <w:r>
        <w:t>IT: TAF E-3273/2013 del 22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Der Beschwerdeführer hat ferner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frist- und formgerecht eingereichte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festzustellen, dass die angefochtene Verfügung des BFM vom 14. Februar 2013 sowohl an den Beschwerdeführer als auch an seine Ehefrau und die beiden Kinder adressiert ist. Die Ehefrau und die beiden Kinder des Beschwerdeführers werden auch im Anschluss an das Verfügungsdispositiv und die Rechtsmittelbelehrung unter dem Titel "Diese Verfügung bezieht sich auf" erwähnt. Diese blosse Aufführung der betreffenden Namen genügt jedoch den Anforderungen einer rechtswirksamen Verfügung nicht, zumal die gesamte Begründung der Verfügung sich ausschliesslich auf den Beschwerdeführer bezieht (vgl. Pierre Tschannen/Ulrich Zimmerli/Markus Müller, Allgemeines Verwaltungsrecht, 3. Aufl., Bern 2009, § 28 ff., S. 224 ff.).</w:t>
      </w:r>
    </w:p>
    <w:p>
      <w:r>
        <w:rPr>
          <w:b/>
        </w:rPr>
        <w:t>E. 3.2</w:t>
      </w:r>
    </w:p>
    <w:p>
      <w:r>
        <w:t>Ferner ist festzuhalten, dass die angefochtene Verfügung angesichts des im Entscheidzeitpunkts vorliegenden Abklärungsstandes in Bezug auf die Ehefrau und die Kinder des Beschwerdeführers ohnehin nicht hätte ergehen dürfen. Wie das Bundesverwaltungsgericht in seinem unter BVGE 2011/39 publizierten Urteil vom 6. Dezember 2011 festgehalten hat, kann sich zwar gemäss Art. 11 Abs. 1 VwVG eine Partei, wenn sie nicht persönlich zu handeln hat, auf jeder Stufe des Verfahrens vertreten lassen; als Einschränkung sind jedoch Verfahrenshandlungen von der Möglichkeit der Vertretung ausgenommen, die eine persönliche Mitwirkung des oder der Vertretenen erfordern, entweder weil es gesetzlich vorgeschrieben ist (namentlich die Anhörung zu den Asylgründen nach Art. 29 AsylG) oder weil die Verfahrenshandlungen der Natur der Sache nach nur von ihm oder ihr ausgehen können. Gemäss langjähriger asylrechtlicher Praxis gilt die Einreichung eines Asylgesuches als sogenannt "relativ höchstpersönliches Recht" (vgl. Entscheidungen und Mitteilungen der Schweizerischen Asylrekurskommission [EMARK] 1996 Nr. 5). Die Initiierung eines Asylverfahrens aus dem Ausland durch die urteilsfähige (mündige oder unmündige) Person setzt prinzipiell einen persönlichen Antrag derselben voraus. Fehlt ein solcher, ist eine Mangelbehebung indes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(vgl. zum Ganzen BVGE 2011/39, a.a.O., E. 4.3.2).</w:t>
      </w:r>
    </w:p>
    <w:p>
      <w:r>
        <w:rPr>
          <w:b/>
        </w:rPr>
        <w:t>E. 3.3</w:t>
      </w:r>
    </w:p>
    <w:p>
      <w:r>
        <w:t>Im vorliegenden Fall sind die Ehefrau und die Kinder des Beschwerdeführers im ganzen bisherigen Verfahren - und insbesondere im erstinstanzlichen Verfahren - nie in irgendeiner Weise persönlich vor einer schweizerischen Asylbehörde im In- oder Ausland aufgetreten. Es geht denn auch betreffend allfällige Asylgründe der Ehefrau aus den Akten nichts hervor. Mithin kann die angefochtene Verfügung die Ehefrau und die minderjährigen Kinder des Beschwerdeführers nicht einbeziehen. Die Ehefrau des Beschwerdeführers und die Kinder haben demzufolge bis dato kein Asylverfahren in der Schweiz durchlaufen respektive kein Asylgesuch in der Schweiz eingereicht. Das vorliegende Beschwerdeurteil betrifft daher einzig den Beschwerdeführer.</w:t>
      </w:r>
    </w:p>
    <w:p>
      <w:r>
        <w:rPr>
          <w:b/>
        </w:rPr>
        <w:t>E. 4</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im vorliegenden Beschwerdeverfahren auf das AsylG oder Verordnungstexte verwiesen, bezieht sich dies stets auf die bisherige Fassung der entsprechenden Bestimmungen.</w:t>
      </w:r>
    </w:p>
    <w:p>
      <w:r>
        <w:rPr>
          <w:b/>
        </w:rPr>
        <w:t>E. 5.1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5.2</w:t>
      </w:r>
    </w:p>
    <w:p>
      <w:r>
        <w:t>Vorliegend sah sich die Botschaft in Khartum nicht in der Lage, eine persönliche Anhörung des Beschwerdeführers durchzuführen. Das BFM begründete diesen Verzicht in der Verfügung vom 14. Februar 2013 mit dem begrenzten Personalbestand der Botschaft sowie den fehlenden Voraussetzungen im sicherheitstechnischen und räumlichen Bereich. Das Bundesamt ersuchte den Beschwerdeführer mit Schreiben vom 1. Oktober 2012 um Einreichung einer ergänzenden Stellungnahme zwecks Vervollständigung des rechtserheblichen Sachverhaltes. Der Beschwerdeführer nahm in der Folge mit Eingabe vom 10. Dezember 2012 ausführlich zu den gestellten Fragen Stellung und machte persönliche, auf ihn konkret bezogene Angaben sowie Angaben zu seiner Ehefrau und den beiden Kindern. Vorliegend erhielt der Beschwerdeführer somit rechtsgenügend Gelegenheit, seine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6</w:t>
      </w:r>
    </w:p>
    <w:p>
      <w:r>
        <w:t>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EMARK 1997 Nr. 15 E. 2c S. 130; 2004 Nr. 20 E. 3.b),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7.1</w:t>
      </w:r>
    </w:p>
    <w:p>
      <w:r>
        <w:t>Vorliegend gelangt das Bundesverwaltungsgericht nach eingehender Prüfung der Akten in Übereinstimmung mit dem BFM zum Schluss, dass die geltend gemachten Vorbringen des Beschwerdeführers nicht a priori unglaubhaft erscheinen und darauf schliessen lassen, dass er in seinem Heimatstaat Äthiopien Schwierigkeiten mit den heimatlichen Behörden gehabt hat. Ob er bei einer allfälligen Rückkehr nach Äthiopien einer flüchtlingsrechtlich relevanten Gefährdung ausgesetzt sein könnte, kann vorliegend dennoch offengelassen werden, da er den zusätzlichen Schutz der Schweiz gemäss Art. 52 Abs. 2 AsylG nicht benötigt, weil es ihm - wie im Nachfolgenden aufzuzeigen sein wird - trotz der zugestandenermassen nicht einfachen Bedingungen für äthiopische Flüchtlinge im Sudan zuzumuten ist, im Zufluchtsland Sudan zu verbleiben. Der Beschwerdeführer befindet sich eigenen Angaben zufolge seit (...) Dezember 2005 im Sudan. Aufgrund der Angaben in seinem schriftlichen Asylgesuch, seinen ergänzenden Ausführungen vom 10. Dezember 2012 und des in Kopie eingereichten Ausweises (gemäss seinen Angaben handle es sich um eine "Refugee-ID-Card") ist davon auszugehen, dass er durch den COR im Sudan als Flüchtling registriert worden ist. Folglich verfügt er über die erforderliche temporäre Bewilligung, um sich im Sudan aufhalten zu können, und geniesst weitgehend Schutz vor einer Abschiebung in sein Heimatland Äthiopien. Mit diesem Schutz ist allerdings nicht ein freies Aufenthaltsrecht für das ganze Land verbunden. Es ist jedoch davon auszugehen, dass der Beschwerdeführer im Sudan Schutz gefunden und die Möglichkeit hat, sich in das ihm zugewiesene Flüchtlingslager zurückzubegeben, sofern er einen weiteren Aufenthalt in der Region Khartum nicht mehr in Betracht zieht.</w:t>
      </w:r>
    </w:p>
    <w:p>
      <w:r>
        <w:rPr>
          <w:b/>
        </w:rPr>
        <w:t>E. 7.2</w:t>
      </w:r>
    </w:p>
    <w:p>
      <w:r>
        <w:t>Die Situation für Flüchtlinge im Sudan ist - wie schon das BFM festgehalten hat - nicht einfach. Der Sudan verfolgt eine sogenannte "encampment policy" (vgl. US Depart­ment of State, Country Reports on Human Rights Practices for 2012; Executive Summary, http://www.state.gov/documents/organization/204383. pdf; UNHCR, Refugees and the Rashaida: Human smuggling and trafficking from Eritrea to Sudan and Egypt, März 2013, Seite 6, http://reliefweb. int/sites/reliefweb.int/files/resources/human%20smuggling%20and%20trafficking%20from%20Eritrea%20to%20Sudan%20and%20Egypt.pdf, beide abgerufen am 16.06.2013). Gemäss dieser "encampment policy" Sudans sind Asylsuchende und Flüchtlinge gehalten, sich in einem der zwölf Flüchtlingslager aufzuhalten. Die sudanesischen Behörden beschränken die Bewegungsfreiheit der Flüchtlinge durch diese "encampment policy" und durch die gesetzlich vorgesehene Bestrafung von Flüchtlingen, welche die Flüchtlingslager verlassen (vgl. UNHCR, Submission by the United Nations High Commissioner for Refugees for the Office of the High Commissioner for Human Rights' Compilation Report - Universal Periodic Review: SUDAN, November 2010, http://lib.ohchr.org/HRBodies/UPR/Documents/Session11-/SD/UNHCR_UnitedNationsHighCommissionerforRefugees%20-eng.pdf, abgerufen am 16.06.2013). Trotz dieser Einschränkung leben - gemäss Schätzungen des UNHCR vom November 2010 - rund 40'000 Flüchtlinge in Khartum. Die sudanesischen Behörden haben bisher keine einheitliche Praxis entwickelt, wie sie mit diesen städtischen Flüchtlingen umgehen. Der UNHCR rechnet fürs Jahr 2013 im Sudan mit 5000 Flüchtlingen und 3300 Asylsuchenden aus Äthiopien (zum Vergleich: UNHCR rechnet mit 115'000 Flüchtlingen und 2'600 Asylsuchenden aus Eritrea; vgl. UNHCR, 2013 UNHCR country operations profile - Sudan, 25.01.2013, http://www.unhcr.org-/pages-/49e483b76.html, abgerufen am 16.06. 2013).</w:t>
      </w:r>
    </w:p>
    <w:p>
      <w:r>
        <w:rPr>
          <w:b/>
        </w:rPr>
        <w:t>E. 7.3</w:t>
      </w:r>
    </w:p>
    <w:p>
      <w:r>
        <w:t>Was die Gefahr einer Deportation betrifft, ist die Einschätzung des BFM, eine solche könne vorliegend verneint werden, zu bestätigen. In diesem Zusammenhang lässt sich aufgrund der vorliegenden Lagebeurteilungen und Berichte betreffend äthiopische Flüchtlinge im Sudan insbesondere Folgendes feststellen: Im Jahr 2007 kritisierte der UNHCR die am 27. September 2007 durchgeführte Deportation von (mindestens 15) äthiopischen Flüchtlingen nach Äthiopien; dies nachdem die sudanesische Regierung bereits nach einer am 7. August 2007 erfolgten Deportation nach Äthiopien dem UNHCR die Zusicherung abgegeben hatte, dass solche Verletzungen von internationalem und nationalem Recht nicht wiederholt würden (vgl. UNHCR, UNHCR condemns deportation of Ethiopian refugees by Sudan, 11.10.2007, http://www.unhcr.org/news/NEWS/470e-4b092.html, abgerufen am 16.06.2013). Im Februar 2012 wurden gemäss einer äthiopischen Exilgruppierung im Grossraum Khartum eine Anzahl Äthiopier verhaftet und zur Deportation vorgesehen. Angeblich wurde der Lastwagen, welcher für die Durchführung der Rückschaffung eingesetzt worden war, in einen Unfall verwickelt und 42 der zur Deportation vorgesehenen Äthiopier sollen dabei gestorben sein. In den vergangenen Jahren soll die sudanesische Regierung eine Anzahl von politischen Flüchtlingen äthiopischer Herkunft an Äthiopien übergeben haben; bei den meisten habe es sich um Angehörige äthiopischer Wiederstandsgruppierungen gehandelt (vgl. Sudan Tribune, Sudan accused of fresh crackdown on Ethiopian opponents, 25.02.2013, http://www.sudantribune.com/Sudan-accused-of-fresh-crackdown,41713, Originaldokument: Solidarity Committee for Ethiopian Political Prisoners (SOCDEPP), Sudan repression against Ethiopian refugees intensifies, 24.02.2012, http://www.socepp.de/sudan%20repression%20-against%20-ethiopoan%20refugees%20intensifies.pdf, abgerufen am 16.06.2013). Der UNHCR, welcher in der Vergangenheit mehrfach Deportationen durch die sudanesischen Behörden öffentlich kritisiert hat, hat sich zu den von der erwähnten Exilgruppe aufgebrachten Informationen über die beabsichtigte Deportation nicht geäussert. In den verfügbaren Quellen existieren keine Informationen, dass äthiopische Flüchtlinge, die sich gemäss der "encampment policy" in Flüchtlingslagern aufhalten, dort von sudanesischen Behörden verhaftet und nach Äthiopien deportiert wurden; entsprechende Informationen beziehen sich jeweils auf Eritreer. Im aktuellsten UNHCR-Bericht, der sich auf das Jahr 2011 bezieht, wird die damalige Zunahme der Deportationen zwar erwähnt, es werden jedoch dabei keine Angaben zur Nationalität der Deportierten gemacht (vgl. UNHCR, UNHCR Global Report 2011 - Sudan, 01.06.2012, http://www.unhcr.org/ 4fc880a3b.html, abgerufen am 16.06.2013). Auch wenn angesichts der guten Beziehungen zwischen dem Sudan und Äthiopien nicht generell ausgeschlossen werden kann, dass Deportationen von Äthiopiern in ihr Heimatland stattfinden, bestehen keine konkreten Anhaltpunkte dafür, dass solche Deportationen systematisch oder grossflächig durchgeführt würden. Im Sudan als Flüchtlinge registrierte beziehungsweise anerkannte Flüchtlinge werden in der Regel nicht in ihr Heimatland zurückgeführt. Verhaftungen von in Khartum lebenden Flüchtlinge kommen zwar vor. Diese Festnahmen erfolgen jedoch, weil sich diese Flüchtlinge gemäss sudanesischem Gesetz in den Flüchtlingslagern aufzuhalten haben und sich ihr dortiges Aufenthaltsrecht nicht aufs ganze Land, namentlich den Grossraum Khartum, erstreckt. Das im Mai 2012 von Sudan und Äthiopien unterzeichnete Abkommen "Ethiopia-Sudan Extradition Agreement" schliesslich regelt die Auslieferung und den Austausch von Gefangenen, damit den Gesuchten verunmöglicht wird, sich im jeweils anderen Staat zu verstecken. Den heute verfügbaren Quellen sind keine Informationen zu entnehmen, wonach basierend auf diesem Abkommen in systematischer Weise äthiopische Flüchtlinge aus dem Sudan deportiert würden.</w:t>
      </w:r>
    </w:p>
    <w:p>
      <w:r>
        <w:rPr>
          <w:b/>
        </w:rPr>
        <w:t>E. 7.4</w:t>
      </w:r>
    </w:p>
    <w:p>
      <w:r>
        <w:t>Es liegen nach dem Gesagten keine Informationen vor, die darauf schliessen liessen, dass die sudanesische Behörden in der jüngeren Vergangenheit flächendeckende oder systematische Deportationen von äthiopischen Flüchtlingen aus den Flüchtlingslagern nach Äthiopien vorgenommen hätten oder solche konkret für die Zukunft in Betracht ziehen würden. Im Weiteren hat der Beschwerdeführer nicht geltend gemacht, dass er während seines Aufenthaltes im Sudan zugunsten einer aus Sicht der äthiopischen Regierung verbotenen, oppositionellen Partei tätig gewesen ist. Er muss auch angesichts seiner früheren Mitgliedschaft bei der [Partei A.] beziehungsweise seiner [Tätigkeit] zugunsten der [Partei D.] nicht mit einem erhöhten Deportationsrisiko rechnen. Die [Partei A.] und die [Partei D.] sind beim National Electoral Board (NEBE) in Äthiopien registriert und somit legale Parteien (vgl. Bundesamt für Migration und Flüchtlinge Deutschland / Bundesasylamt Österreich / Bundesamt für Migration Schweiz: Bericht zur D-A-CH Fact Finding Mission Äthiopien/Somaliland 2010, Mai 2010, S. 44 ff. u. 63, http://www.ejpd.admin.ch/content/dam/data/migration/laenderinformationen/herkunftslaenderinformationen/afrika/eth/ETH-ber-factfindingmission-d.pdf, abgerufen am 18.06.2013). Im Ergebnis ist daher dem BFM zuzustimmen, wonach für den Beschwerdeführer als im Sudan vom UNHCR und COR registrierten Flüchtling die Gefahr einer Deportation nach Äthiopien als gering einzustufen ist. Die vom Beschwerdeführer geltend gemachte diesbezügliche Befürchtung stellt daher keine Grundlage für eine Einreisebewilligung in die Schweiz dar.</w:t>
      </w:r>
    </w:p>
    <w:p>
      <w:r>
        <w:rPr>
          <w:b/>
        </w:rPr>
        <w:t>E. 7.5</w:t>
      </w:r>
    </w:p>
    <w:p>
      <w:r>
        <w:t>Was die Gefahr einer Entführung von äthiopischen Flüchtlingen aus den Flüchtlingslagern im Sudan anbelangt, so ist Folgendes festzuhalten: Gut dokumentiert sind verschiedene Fälle von Entführungen von eritreischen Flüchtlingen im Sudan. Allerdings ist dabei jeweils die Rede von Eritreern, nicht aber von Äthiopiern (vgl. UNHCR, UNHCR concern at refugee kidnappings, disappearances in eastern Sudan, 25.01.2013, http://www.unhcr.org-/510275a19.html, abgerufen am 16.05.2013 ). In einem weiteren UNHCR-Bericht werden ausschliesslich Flüchtlinge aus Eritrea erwähnt, die von Entführungen betroffen seien (vgl. UNHCR, Refugees and the Rashaida: Human smuggling and trafficking from Eritrea to Sudan and Egypt, März 2013, http://reliefweb.int/sites/reliefweb.int/ files/resources/human%20smuggling%20and%20trafficking%20from%20 Eritrea%20to%20Sudan%20and%20Egypt.pdf, abgerufen am 16.06.2013). Auch Reuters AlertNet hat von Entführungen von Flüchtlingen berichtet, wobei es sich jeweils um eritreische Flüchtlingen gehandelt hat (vgl. Reuters Alertnet, Traffickers attacking Eritrean refugees in Sudan - rights groups, 31.01.2013, http://www.trust.org/alertnet/news/traffickers-attacking- eritrean-refugees-in-sudan-rights-groups, abgerufen am 16.06.2013). Schliesslich werden auch in einem Bericht der Schweizerischen Flüchtlingshilfe (SFH) vom 5. April 2013 einzig eritreische Staatsangehörige erwähnt, die von Entführungen aus sudanesischen und äthiopischen Flüchtlingslagern betroffen seien (SFH, Eritrea: Entführungen, Erpressungen, Organhandel, 05.07.2012, abgerufen am 16.06.2013). Aufgrund der verfügbaren Unterlagen muss zusammenfassend festgestellt werden, dass keine konkrete Grundlage für die Annahme besteht, dass äthiopische Flüchtlinge generell befürchten müssten, aus einem sudanesischen Flüchtlingslager entführt oder verschleppt zu werden.</w:t>
      </w:r>
    </w:p>
    <w:p>
      <w:r>
        <w:rPr>
          <w:b/>
        </w:rPr>
        <w:t>E. 7.6</w:t>
      </w:r>
    </w:p>
    <w:p>
      <w:r>
        <w:t>Es ist nicht in Abrede zu stellen, dass die Lebensbedingungen in Khartum generell, und somit auch für den Beschwerdeführer, schwierig sind. Dennoch ist nicht anzunehmen, dass der Beschwerdeführer im Sudan den Lebensunterhalt für sich und seine Familie nicht mehr wird bestreiten können. Eigenen Angaben zufolge lebt er mit seiner Frau bereits seit Dezember 2005 im Sudan. Das Bundesverwaltungsgericht erkennt keine konkreten Anhaltspunkte dafür, dass der Beschwerdeführer inskünftig nicht mehr zusammen mit seiner Ehefrau für den notwendigen Lebensunterhalt wird aufkommen können und dabei allenfalls mit der in Khartum lebenden äthiopischen Diaspora rechnen kann. Sollte der Beschwerdeführer einen weiteren Aufenthalt in Khartum nicht mehr in Betracht ziehen, hat er die Möglichkeit, sich wieder in das ihm zugewiesene Flüchtlingslager zu begeben, wo er mit Schutz und einer ausreichenden Versorgung rechnen kann. Schliesslich hat das BFM zu Recht festgestellt, dass der Beschwerdeführer keine in der Schweiz lebenden Angehörigen hat und keine besondere Beziehungsnähe zur Schweiz besteht.</w:t>
      </w:r>
    </w:p>
    <w:p>
      <w:r>
        <w:rPr>
          <w:b/>
        </w:rPr>
        <w:t>E. 7.7</w:t>
      </w:r>
    </w:p>
    <w:p>
      <w:r>
        <w:t>Aufgrund dieser Erwägungen erscheint es für den Beschwerdefüh­rer objektiv nicht unzumutbar, den im Sudan gegenüber einer allfälligen Verfolgungsgefahr in seinem Heimatstaat Äthiopien bestehenden Schutz weiterhin in Anspruch zu nehmen. Eine Schutzgewährung durch die Schweiz er­scheint somit unter Berücksichtigung aller wesentlichen Umstände, wel­che mit dem Aufenthalt des Beschwerdeführers im Sudan und seinem dortigen Status als vom COR registrierter Flüchtling verbunden sind, nicht erforderlich. Zusammenfassend ergibt sich, dass das BFM zu Recht und mit zutreffender Begründung feststellte, eine Abwägung der Gesamtumstände im Sinne von Art. 52 Abs. 2 AsylG führe zum Schluss, dass dem Beschwerdeführer ein Verbleib im Sudan zuzumuten ist. Unter diesen Umständen hat das Bundesamt zu Recht die Erteilung der Einreisebewilligung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